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152E" w14:textId="4AD23D34" w:rsidR="00FF1A22" w:rsidRDefault="00370B10" w:rsidP="00C1493C">
      <w:pPr>
        <w:spacing w:line="276" w:lineRule="auto"/>
        <w:jc w:val="center"/>
        <w:rPr>
          <w:rFonts w:ascii="Arial" w:eastAsia="Calibri" w:hAnsi="Arial" w:cs="Arial"/>
          <w:b/>
          <w:sz w:val="40"/>
          <w:szCs w:val="40"/>
          <w:lang w:eastAsia="en-US"/>
        </w:rPr>
      </w:pPr>
      <w:r>
        <w:rPr>
          <w:noProof/>
          <w:lang w:eastAsia="pl-PL"/>
        </w:rPr>
        <w:drawing>
          <wp:inline distT="0" distB="0" distL="0" distR="0" wp14:anchorId="15BD6049" wp14:editId="75F518C8">
            <wp:extent cx="5760720" cy="463194"/>
            <wp:effectExtent l="0" t="0" r="0" b="0"/>
            <wp:docPr id="1" name="Obraz 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3194"/>
                    </a:xfrm>
                    <a:prstGeom prst="rect">
                      <a:avLst/>
                    </a:prstGeom>
                    <a:noFill/>
                    <a:ln>
                      <a:noFill/>
                    </a:ln>
                  </pic:spPr>
                </pic:pic>
              </a:graphicData>
            </a:graphic>
          </wp:inline>
        </w:drawing>
      </w:r>
      <w:bookmarkStart w:id="0" w:name="_Hlk109212782"/>
    </w:p>
    <w:p w14:paraId="2C709C35" w14:textId="6FFCE9D4" w:rsidR="00C1493C" w:rsidRDefault="00C1493C" w:rsidP="00C1493C">
      <w:pPr>
        <w:pStyle w:val="CM21"/>
        <w:spacing w:after="0"/>
        <w:jc w:val="right"/>
        <w:rPr>
          <w:rFonts w:ascii="Arial" w:hAnsi="Arial" w:cs="Arial"/>
          <w:sz w:val="16"/>
          <w:szCs w:val="16"/>
        </w:rPr>
      </w:pPr>
      <w:r>
        <w:rPr>
          <w:rFonts w:ascii="Arial" w:hAnsi="Arial" w:cs="Arial"/>
          <w:sz w:val="16"/>
          <w:szCs w:val="16"/>
        </w:rPr>
        <w:t xml:space="preserve">Załącznik do Uchwały Nr </w:t>
      </w:r>
      <w:r w:rsidR="00E82752">
        <w:rPr>
          <w:rFonts w:ascii="Arial" w:hAnsi="Arial" w:cs="Arial"/>
          <w:sz w:val="16"/>
          <w:szCs w:val="16"/>
        </w:rPr>
        <w:t>471</w:t>
      </w:r>
      <w:r>
        <w:rPr>
          <w:rFonts w:ascii="Arial" w:hAnsi="Arial" w:cs="Arial"/>
          <w:sz w:val="16"/>
          <w:szCs w:val="16"/>
        </w:rPr>
        <w:t>/</w:t>
      </w:r>
      <w:r w:rsidR="00E82752">
        <w:rPr>
          <w:rFonts w:ascii="Arial" w:hAnsi="Arial" w:cs="Arial"/>
          <w:sz w:val="16"/>
          <w:szCs w:val="16"/>
        </w:rPr>
        <w:t>9796</w:t>
      </w:r>
      <w:r>
        <w:rPr>
          <w:rFonts w:ascii="Arial" w:hAnsi="Arial" w:cs="Arial"/>
          <w:sz w:val="16"/>
          <w:szCs w:val="16"/>
        </w:rPr>
        <w:t>/23</w:t>
      </w:r>
    </w:p>
    <w:p w14:paraId="77255778" w14:textId="77777777" w:rsidR="00C1493C" w:rsidRDefault="00C1493C" w:rsidP="00C1493C">
      <w:pPr>
        <w:pStyle w:val="Default"/>
        <w:jc w:val="right"/>
        <w:rPr>
          <w:rFonts w:ascii="Arial" w:hAnsi="Arial" w:cs="Arial"/>
          <w:sz w:val="16"/>
          <w:szCs w:val="16"/>
        </w:rPr>
      </w:pPr>
      <w:r>
        <w:rPr>
          <w:rFonts w:ascii="Arial" w:hAnsi="Arial" w:cs="Arial"/>
          <w:sz w:val="16"/>
          <w:szCs w:val="16"/>
        </w:rPr>
        <w:t>Zarządu Województwa Podkarpackiego</w:t>
      </w:r>
    </w:p>
    <w:p w14:paraId="6E999BF7" w14:textId="77777777" w:rsidR="00C1493C" w:rsidRDefault="00C1493C" w:rsidP="00C1493C">
      <w:pPr>
        <w:pStyle w:val="Default"/>
        <w:jc w:val="right"/>
        <w:rPr>
          <w:rFonts w:ascii="Arial" w:hAnsi="Arial" w:cs="Arial"/>
          <w:sz w:val="16"/>
          <w:szCs w:val="16"/>
        </w:rPr>
      </w:pPr>
      <w:r>
        <w:rPr>
          <w:rFonts w:ascii="Arial" w:hAnsi="Arial" w:cs="Arial"/>
          <w:sz w:val="16"/>
          <w:szCs w:val="16"/>
        </w:rPr>
        <w:t>w Rzeszowie</w:t>
      </w:r>
    </w:p>
    <w:p w14:paraId="160138DC" w14:textId="001D1188" w:rsidR="00C1493C" w:rsidRDefault="00C1493C" w:rsidP="00C1493C">
      <w:pPr>
        <w:pStyle w:val="Default"/>
        <w:jc w:val="right"/>
        <w:rPr>
          <w:rFonts w:ascii="Arial" w:hAnsi="Arial" w:cs="Arial"/>
          <w:sz w:val="16"/>
          <w:szCs w:val="16"/>
        </w:rPr>
      </w:pPr>
      <w:r>
        <w:rPr>
          <w:rFonts w:ascii="Arial" w:hAnsi="Arial" w:cs="Arial"/>
          <w:sz w:val="16"/>
          <w:szCs w:val="16"/>
        </w:rPr>
        <w:t xml:space="preserve">z dnia </w:t>
      </w:r>
      <w:r w:rsidR="00E82752">
        <w:rPr>
          <w:rFonts w:ascii="Arial" w:hAnsi="Arial" w:cs="Arial"/>
          <w:sz w:val="16"/>
          <w:szCs w:val="16"/>
        </w:rPr>
        <w:t>20 marca</w:t>
      </w:r>
      <w:r>
        <w:rPr>
          <w:rFonts w:ascii="Arial" w:hAnsi="Arial" w:cs="Arial"/>
          <w:sz w:val="16"/>
          <w:szCs w:val="16"/>
        </w:rPr>
        <w:t xml:space="preserve"> 2023 r.</w:t>
      </w:r>
    </w:p>
    <w:p w14:paraId="7E82CF60" w14:textId="77777777" w:rsidR="00C1493C" w:rsidRDefault="00C1493C" w:rsidP="00FF1A22">
      <w:pPr>
        <w:spacing w:after="4320" w:line="276" w:lineRule="auto"/>
        <w:jc w:val="center"/>
        <w:rPr>
          <w:rFonts w:ascii="Arial" w:eastAsia="Calibri" w:hAnsi="Arial" w:cs="Arial"/>
          <w:b/>
          <w:sz w:val="40"/>
          <w:szCs w:val="40"/>
          <w:lang w:eastAsia="en-US"/>
        </w:rPr>
      </w:pPr>
      <w:bookmarkStart w:id="1" w:name="_GoBack"/>
      <w:bookmarkEnd w:id="1"/>
    </w:p>
    <w:p w14:paraId="72B52429" w14:textId="77777777" w:rsidR="00FF1A22" w:rsidRDefault="00057C8B" w:rsidP="00FF1A22">
      <w:pPr>
        <w:spacing w:line="276" w:lineRule="auto"/>
        <w:jc w:val="center"/>
        <w:rPr>
          <w:rFonts w:ascii="Arial" w:eastAsia="Calibri" w:hAnsi="Arial" w:cs="Arial"/>
          <w:b/>
          <w:sz w:val="40"/>
          <w:szCs w:val="40"/>
          <w:lang w:eastAsia="en-US"/>
        </w:rPr>
      </w:pPr>
      <w:r>
        <w:rPr>
          <w:rFonts w:ascii="Arial" w:eastAsia="Calibri" w:hAnsi="Arial" w:cs="Arial"/>
          <w:b/>
          <w:sz w:val="40"/>
          <w:szCs w:val="40"/>
          <w:lang w:eastAsia="en-US"/>
        </w:rPr>
        <w:t>Katalogi</w:t>
      </w:r>
      <w:r w:rsidR="00652A6E">
        <w:rPr>
          <w:rFonts w:ascii="Arial" w:eastAsia="Calibri" w:hAnsi="Arial" w:cs="Arial"/>
          <w:b/>
          <w:sz w:val="40"/>
          <w:szCs w:val="40"/>
          <w:lang w:eastAsia="en-US"/>
        </w:rPr>
        <w:t xml:space="preserve"> </w:t>
      </w:r>
      <w:r w:rsidR="005B40DF">
        <w:rPr>
          <w:rFonts w:ascii="Arial" w:eastAsia="Calibri" w:hAnsi="Arial" w:cs="Arial"/>
          <w:b/>
          <w:sz w:val="40"/>
          <w:szCs w:val="40"/>
          <w:lang w:eastAsia="en-US"/>
        </w:rPr>
        <w:t>wydatków</w:t>
      </w:r>
      <w:r w:rsidR="00793AB2">
        <w:rPr>
          <w:rFonts w:ascii="Arial" w:eastAsia="Calibri" w:hAnsi="Arial" w:cs="Arial"/>
          <w:b/>
          <w:sz w:val="40"/>
          <w:szCs w:val="40"/>
          <w:lang w:eastAsia="en-US"/>
        </w:rPr>
        <w:t xml:space="preserve"> </w:t>
      </w:r>
      <w:r w:rsidR="005B40DF">
        <w:rPr>
          <w:rFonts w:ascii="Arial" w:eastAsia="Calibri" w:hAnsi="Arial" w:cs="Arial"/>
          <w:b/>
          <w:sz w:val="40"/>
          <w:szCs w:val="40"/>
          <w:lang w:eastAsia="en-US"/>
        </w:rPr>
        <w:t xml:space="preserve">w ramach programu regionalnego Fundusze Europejskie dla Podkarpacia 2021-2027 </w:t>
      </w:r>
    </w:p>
    <w:p w14:paraId="1186150B" w14:textId="3020BB10" w:rsidR="005B40DF" w:rsidRDefault="005B40DF" w:rsidP="00C1493C">
      <w:pPr>
        <w:spacing w:after="4680" w:line="276" w:lineRule="auto"/>
        <w:jc w:val="center"/>
        <w:rPr>
          <w:rFonts w:ascii="Arial" w:eastAsia="Calibri" w:hAnsi="Arial" w:cs="Arial"/>
          <w:b/>
          <w:sz w:val="40"/>
          <w:szCs w:val="40"/>
          <w:lang w:eastAsia="en-US"/>
        </w:rPr>
      </w:pPr>
      <w:r>
        <w:rPr>
          <w:rFonts w:ascii="Arial" w:eastAsia="Calibri" w:hAnsi="Arial" w:cs="Arial"/>
          <w:b/>
          <w:sz w:val="40"/>
          <w:szCs w:val="40"/>
          <w:lang w:eastAsia="en-US"/>
        </w:rPr>
        <w:t>(część EFRR)</w:t>
      </w:r>
    </w:p>
    <w:bookmarkEnd w:id="0"/>
    <w:p w14:paraId="34E04DCB" w14:textId="4FF2FE5E" w:rsidR="001101C4" w:rsidRPr="00931114" w:rsidRDefault="005B40DF" w:rsidP="00931114">
      <w:pPr>
        <w:autoSpaceDE w:val="0"/>
        <w:spacing w:after="2160" w:line="276" w:lineRule="auto"/>
        <w:jc w:val="center"/>
      </w:pPr>
      <w:r>
        <w:rPr>
          <w:rFonts w:ascii="Arial" w:eastAsia="Calibri" w:hAnsi="Arial" w:cs="Arial"/>
          <w:b/>
          <w:bCs/>
          <w:iCs/>
          <w:sz w:val="28"/>
          <w:szCs w:val="28"/>
          <w:lang w:eastAsia="en-US"/>
        </w:rPr>
        <w:t xml:space="preserve">Rzeszów, </w:t>
      </w:r>
      <w:r w:rsidR="00931114">
        <w:rPr>
          <w:rFonts w:ascii="Arial" w:eastAsia="Calibri" w:hAnsi="Arial" w:cs="Arial"/>
          <w:b/>
          <w:bCs/>
          <w:iCs/>
          <w:sz w:val="28"/>
          <w:szCs w:val="28"/>
          <w:lang w:eastAsia="en-US"/>
        </w:rPr>
        <w:t>marzec</w:t>
      </w:r>
      <w:r w:rsidR="00225C48">
        <w:rPr>
          <w:rFonts w:ascii="Arial" w:eastAsia="Calibri" w:hAnsi="Arial" w:cs="Arial"/>
          <w:b/>
          <w:bCs/>
          <w:iCs/>
          <w:sz w:val="28"/>
          <w:szCs w:val="28"/>
          <w:lang w:eastAsia="en-US"/>
        </w:rPr>
        <w:t xml:space="preserve"> </w:t>
      </w:r>
      <w:r>
        <w:rPr>
          <w:rFonts w:ascii="Arial" w:eastAsia="Calibri" w:hAnsi="Arial" w:cs="Arial"/>
          <w:b/>
          <w:bCs/>
          <w:iCs/>
          <w:sz w:val="28"/>
          <w:szCs w:val="28"/>
          <w:lang w:eastAsia="en-US"/>
        </w:rPr>
        <w:t>202</w:t>
      </w:r>
      <w:r w:rsidR="004C4701">
        <w:rPr>
          <w:rFonts w:ascii="Arial" w:eastAsia="Calibri" w:hAnsi="Arial" w:cs="Arial"/>
          <w:b/>
          <w:bCs/>
          <w:iCs/>
          <w:sz w:val="28"/>
          <w:szCs w:val="28"/>
          <w:lang w:eastAsia="en-US"/>
        </w:rPr>
        <w:t>3</w:t>
      </w:r>
      <w:r>
        <w:rPr>
          <w:rFonts w:ascii="Arial" w:eastAsia="Calibri" w:hAnsi="Arial" w:cs="Arial"/>
          <w:b/>
          <w:bCs/>
          <w:iCs/>
          <w:sz w:val="28"/>
          <w:szCs w:val="28"/>
          <w:lang w:eastAsia="en-US"/>
        </w:rPr>
        <w:t xml:space="preserve"> r. </w:t>
      </w:r>
      <w:r w:rsidR="006E0768" w:rsidRPr="006E0768">
        <w:rPr>
          <w:rFonts w:ascii="Arial" w:hAnsi="Arial" w:cs="Arial"/>
        </w:rPr>
        <w:br w:type="page"/>
      </w:r>
    </w:p>
    <w:sdt>
      <w:sdtPr>
        <w:rPr>
          <w:rFonts w:ascii="Times New Roman" w:hAnsi="Times New Roman"/>
          <w:b w:val="0"/>
          <w:bCs w:val="0"/>
          <w:caps w:val="0"/>
          <w:color w:val="auto"/>
          <w:sz w:val="24"/>
          <w:szCs w:val="24"/>
          <w:lang w:eastAsia="zh-CN"/>
        </w:rPr>
        <w:id w:val="-1965577642"/>
        <w:docPartObj>
          <w:docPartGallery w:val="Table of Contents"/>
          <w:docPartUnique/>
        </w:docPartObj>
      </w:sdtPr>
      <w:sdtEndPr/>
      <w:sdtContent>
        <w:p w14:paraId="6162C4A9" w14:textId="43022C57" w:rsidR="00EA7C5E" w:rsidRDefault="00EA7C5E" w:rsidP="00D611A7">
          <w:pPr>
            <w:pStyle w:val="Nagwekspisutreci"/>
            <w:outlineLvl w:val="9"/>
          </w:pPr>
          <w:r>
            <w:t>Spis treści</w:t>
          </w:r>
        </w:p>
        <w:p w14:paraId="34ADD4A7" w14:textId="1F83FAF6" w:rsidR="000B4283" w:rsidRDefault="00EA7C5E">
          <w:pPr>
            <w:pStyle w:val="Spistreci1"/>
            <w:rPr>
              <w:rFonts w:asciiTheme="minorHAnsi" w:eastAsiaTheme="minorEastAsia" w:hAnsiTheme="minorHAnsi" w:cstheme="minorBidi"/>
              <w:b w:val="0"/>
              <w:noProof/>
              <w:szCs w:val="22"/>
              <w:lang w:eastAsia="pl-PL"/>
            </w:rPr>
          </w:pPr>
          <w:r>
            <w:fldChar w:fldCharType="begin"/>
          </w:r>
          <w:r>
            <w:instrText xml:space="preserve"> TOC \o "1-3" \h \z \u </w:instrText>
          </w:r>
          <w:r>
            <w:fldChar w:fldCharType="separate"/>
          </w:r>
          <w:hyperlink w:anchor="_Toc129602547" w:history="1">
            <w:r w:rsidR="000B4283" w:rsidRPr="00085CD3">
              <w:rPr>
                <w:rStyle w:val="Hipercze"/>
                <w:noProof/>
              </w:rPr>
              <w:t>1. Katalogi wydatków w ramach Priorytetu 1 FEP 2021-2027</w:t>
            </w:r>
            <w:r w:rsidR="000B4283">
              <w:rPr>
                <w:noProof/>
                <w:webHidden/>
              </w:rPr>
              <w:tab/>
            </w:r>
            <w:r w:rsidR="000B4283">
              <w:rPr>
                <w:noProof/>
                <w:webHidden/>
              </w:rPr>
              <w:fldChar w:fldCharType="begin"/>
            </w:r>
            <w:r w:rsidR="000B4283">
              <w:rPr>
                <w:noProof/>
                <w:webHidden/>
              </w:rPr>
              <w:instrText xml:space="preserve"> PAGEREF _Toc129602547 \h </w:instrText>
            </w:r>
            <w:r w:rsidR="000B4283">
              <w:rPr>
                <w:noProof/>
                <w:webHidden/>
              </w:rPr>
            </w:r>
            <w:r w:rsidR="000B4283">
              <w:rPr>
                <w:noProof/>
                <w:webHidden/>
              </w:rPr>
              <w:fldChar w:fldCharType="separate"/>
            </w:r>
            <w:r w:rsidR="00CF0516">
              <w:rPr>
                <w:noProof/>
                <w:webHidden/>
              </w:rPr>
              <w:t>3</w:t>
            </w:r>
            <w:r w:rsidR="000B4283">
              <w:rPr>
                <w:noProof/>
                <w:webHidden/>
              </w:rPr>
              <w:fldChar w:fldCharType="end"/>
            </w:r>
          </w:hyperlink>
        </w:p>
        <w:p w14:paraId="0BC3D467" w14:textId="3436DBAE" w:rsidR="000B4283" w:rsidRDefault="00367CD9">
          <w:pPr>
            <w:pStyle w:val="Spistreci2"/>
            <w:rPr>
              <w:rFonts w:asciiTheme="minorHAnsi" w:eastAsiaTheme="minorEastAsia" w:hAnsiTheme="minorHAnsi" w:cstheme="minorBidi"/>
              <w:noProof/>
              <w:sz w:val="22"/>
              <w:szCs w:val="22"/>
              <w:lang w:eastAsia="pl-PL"/>
            </w:rPr>
          </w:pPr>
          <w:hyperlink w:anchor="_Toc129602548" w:history="1">
            <w:r w:rsidR="000B4283" w:rsidRPr="00085CD3">
              <w:rPr>
                <w:rStyle w:val="Hipercze"/>
                <w:noProof/>
              </w:rPr>
              <w:t>1.1 Działanie 1.1 Badania i rozwój</w:t>
            </w:r>
            <w:r w:rsidR="000B4283">
              <w:rPr>
                <w:noProof/>
                <w:webHidden/>
              </w:rPr>
              <w:tab/>
            </w:r>
            <w:r w:rsidR="000B4283">
              <w:rPr>
                <w:noProof/>
                <w:webHidden/>
              </w:rPr>
              <w:fldChar w:fldCharType="begin"/>
            </w:r>
            <w:r w:rsidR="000B4283">
              <w:rPr>
                <w:noProof/>
                <w:webHidden/>
              </w:rPr>
              <w:instrText xml:space="preserve"> PAGEREF _Toc129602548 \h </w:instrText>
            </w:r>
            <w:r w:rsidR="000B4283">
              <w:rPr>
                <w:noProof/>
                <w:webHidden/>
              </w:rPr>
            </w:r>
            <w:r w:rsidR="000B4283">
              <w:rPr>
                <w:noProof/>
                <w:webHidden/>
              </w:rPr>
              <w:fldChar w:fldCharType="separate"/>
            </w:r>
            <w:r w:rsidR="00CF0516">
              <w:rPr>
                <w:noProof/>
                <w:webHidden/>
              </w:rPr>
              <w:t>3</w:t>
            </w:r>
            <w:r w:rsidR="000B4283">
              <w:rPr>
                <w:noProof/>
                <w:webHidden/>
              </w:rPr>
              <w:fldChar w:fldCharType="end"/>
            </w:r>
          </w:hyperlink>
        </w:p>
        <w:p w14:paraId="72B81CB3" w14:textId="21616492" w:rsidR="000B4283" w:rsidRDefault="00367CD9">
          <w:pPr>
            <w:pStyle w:val="Spistreci3"/>
            <w:rPr>
              <w:rFonts w:asciiTheme="minorHAnsi" w:eastAsiaTheme="minorEastAsia" w:hAnsiTheme="minorHAnsi" w:cstheme="minorBidi"/>
              <w:noProof/>
              <w:sz w:val="22"/>
              <w:szCs w:val="22"/>
              <w:lang w:eastAsia="pl-PL"/>
            </w:rPr>
          </w:pPr>
          <w:hyperlink w:anchor="_Toc129602549" w:history="1">
            <w:r w:rsidR="000B4283" w:rsidRPr="00085CD3">
              <w:rPr>
                <w:rStyle w:val="Hipercze"/>
                <w:rFonts w:cs="Arial"/>
                <w:b/>
                <w:noProof/>
              </w:rPr>
              <w:t>1.1.1 WSPARCIE DZIAŁALNOŚCI BADAWCZO-ROZWOJOWEJ</w:t>
            </w:r>
            <w:r w:rsidR="000B4283">
              <w:rPr>
                <w:noProof/>
                <w:webHidden/>
              </w:rPr>
              <w:tab/>
            </w:r>
            <w:r w:rsidR="000B4283">
              <w:rPr>
                <w:noProof/>
                <w:webHidden/>
              </w:rPr>
              <w:fldChar w:fldCharType="begin"/>
            </w:r>
            <w:r w:rsidR="000B4283">
              <w:rPr>
                <w:noProof/>
                <w:webHidden/>
              </w:rPr>
              <w:instrText xml:space="preserve"> PAGEREF _Toc129602549 \h </w:instrText>
            </w:r>
            <w:r w:rsidR="000B4283">
              <w:rPr>
                <w:noProof/>
                <w:webHidden/>
              </w:rPr>
            </w:r>
            <w:r w:rsidR="000B4283">
              <w:rPr>
                <w:noProof/>
                <w:webHidden/>
              </w:rPr>
              <w:fldChar w:fldCharType="separate"/>
            </w:r>
            <w:r w:rsidR="00CF0516">
              <w:rPr>
                <w:noProof/>
                <w:webHidden/>
              </w:rPr>
              <w:t>3</w:t>
            </w:r>
            <w:r w:rsidR="000B4283">
              <w:rPr>
                <w:noProof/>
                <w:webHidden/>
              </w:rPr>
              <w:fldChar w:fldCharType="end"/>
            </w:r>
          </w:hyperlink>
        </w:p>
        <w:p w14:paraId="1C320274" w14:textId="553DF039" w:rsidR="000B4283" w:rsidRDefault="00367CD9">
          <w:pPr>
            <w:pStyle w:val="Spistreci2"/>
            <w:rPr>
              <w:rFonts w:asciiTheme="minorHAnsi" w:eastAsiaTheme="minorEastAsia" w:hAnsiTheme="minorHAnsi" w:cstheme="minorBidi"/>
              <w:noProof/>
              <w:sz w:val="22"/>
              <w:szCs w:val="22"/>
              <w:lang w:eastAsia="pl-PL"/>
            </w:rPr>
          </w:pPr>
          <w:hyperlink w:anchor="_Toc129602550" w:history="1">
            <w:r w:rsidR="000B4283" w:rsidRPr="00085CD3">
              <w:rPr>
                <w:rStyle w:val="Hipercze"/>
                <w:noProof/>
              </w:rPr>
              <w:t>1.2 Działanie 1.2 Cyfryzacja</w:t>
            </w:r>
            <w:r w:rsidR="000B4283">
              <w:rPr>
                <w:noProof/>
                <w:webHidden/>
              </w:rPr>
              <w:tab/>
            </w:r>
            <w:r w:rsidR="000B4283">
              <w:rPr>
                <w:noProof/>
                <w:webHidden/>
              </w:rPr>
              <w:fldChar w:fldCharType="begin"/>
            </w:r>
            <w:r w:rsidR="000B4283">
              <w:rPr>
                <w:noProof/>
                <w:webHidden/>
              </w:rPr>
              <w:instrText xml:space="preserve"> PAGEREF _Toc129602550 \h </w:instrText>
            </w:r>
            <w:r w:rsidR="000B4283">
              <w:rPr>
                <w:noProof/>
                <w:webHidden/>
              </w:rPr>
            </w:r>
            <w:r w:rsidR="000B4283">
              <w:rPr>
                <w:noProof/>
                <w:webHidden/>
              </w:rPr>
              <w:fldChar w:fldCharType="separate"/>
            </w:r>
            <w:r w:rsidR="00CF0516">
              <w:rPr>
                <w:noProof/>
                <w:webHidden/>
              </w:rPr>
              <w:t>10</w:t>
            </w:r>
            <w:r w:rsidR="000B4283">
              <w:rPr>
                <w:noProof/>
                <w:webHidden/>
              </w:rPr>
              <w:fldChar w:fldCharType="end"/>
            </w:r>
          </w:hyperlink>
        </w:p>
        <w:p w14:paraId="4594E6B2" w14:textId="564B93A2" w:rsidR="000B4283" w:rsidRDefault="00367CD9">
          <w:pPr>
            <w:pStyle w:val="Spistreci2"/>
            <w:rPr>
              <w:rFonts w:asciiTheme="minorHAnsi" w:eastAsiaTheme="minorEastAsia" w:hAnsiTheme="minorHAnsi" w:cstheme="minorBidi"/>
              <w:noProof/>
              <w:sz w:val="22"/>
              <w:szCs w:val="22"/>
              <w:lang w:eastAsia="pl-PL"/>
            </w:rPr>
          </w:pPr>
          <w:hyperlink w:anchor="_Toc129602551" w:history="1">
            <w:r w:rsidR="000B4283" w:rsidRPr="00085CD3">
              <w:rPr>
                <w:rStyle w:val="Hipercze"/>
                <w:noProof/>
              </w:rPr>
              <w:t>1.3 Działanie 1.3 Wsparcie MŚP - dotacja</w:t>
            </w:r>
            <w:r w:rsidR="000B4283">
              <w:rPr>
                <w:noProof/>
                <w:webHidden/>
              </w:rPr>
              <w:tab/>
            </w:r>
            <w:r w:rsidR="000B4283">
              <w:rPr>
                <w:noProof/>
                <w:webHidden/>
              </w:rPr>
              <w:fldChar w:fldCharType="begin"/>
            </w:r>
            <w:r w:rsidR="000B4283">
              <w:rPr>
                <w:noProof/>
                <w:webHidden/>
              </w:rPr>
              <w:instrText xml:space="preserve"> PAGEREF _Toc129602551 \h </w:instrText>
            </w:r>
            <w:r w:rsidR="000B4283">
              <w:rPr>
                <w:noProof/>
                <w:webHidden/>
              </w:rPr>
            </w:r>
            <w:r w:rsidR="000B4283">
              <w:rPr>
                <w:noProof/>
                <w:webHidden/>
              </w:rPr>
              <w:fldChar w:fldCharType="separate"/>
            </w:r>
            <w:r w:rsidR="00CF0516">
              <w:rPr>
                <w:noProof/>
                <w:webHidden/>
              </w:rPr>
              <w:t>13</w:t>
            </w:r>
            <w:r w:rsidR="000B4283">
              <w:rPr>
                <w:noProof/>
                <w:webHidden/>
              </w:rPr>
              <w:fldChar w:fldCharType="end"/>
            </w:r>
          </w:hyperlink>
        </w:p>
        <w:p w14:paraId="7C630A3C" w14:textId="3782FD78" w:rsidR="000B4283" w:rsidRDefault="00367CD9">
          <w:pPr>
            <w:pStyle w:val="Spistreci3"/>
            <w:rPr>
              <w:rFonts w:asciiTheme="minorHAnsi" w:eastAsiaTheme="minorEastAsia" w:hAnsiTheme="minorHAnsi" w:cstheme="minorBidi"/>
              <w:noProof/>
              <w:sz w:val="22"/>
              <w:szCs w:val="22"/>
              <w:lang w:eastAsia="pl-PL"/>
            </w:rPr>
          </w:pPr>
          <w:hyperlink w:anchor="_Toc129602552" w:history="1">
            <w:r w:rsidR="000B4283" w:rsidRPr="00085CD3">
              <w:rPr>
                <w:rStyle w:val="Hipercze"/>
                <w:rFonts w:eastAsia="Calibri" w:cs="Arial"/>
                <w:b/>
                <w:bCs/>
                <w:noProof/>
                <w:lang w:eastAsia="en-US"/>
              </w:rPr>
              <w:t>1.3.1 WDROŻENIE PRAC B+R, INNOWACJI PRZEZ MŚP</w:t>
            </w:r>
            <w:r w:rsidR="000B4283">
              <w:rPr>
                <w:noProof/>
                <w:webHidden/>
              </w:rPr>
              <w:tab/>
            </w:r>
            <w:r w:rsidR="000B4283">
              <w:rPr>
                <w:noProof/>
                <w:webHidden/>
              </w:rPr>
              <w:fldChar w:fldCharType="begin"/>
            </w:r>
            <w:r w:rsidR="000B4283">
              <w:rPr>
                <w:noProof/>
                <w:webHidden/>
              </w:rPr>
              <w:instrText xml:space="preserve"> PAGEREF _Toc129602552 \h </w:instrText>
            </w:r>
            <w:r w:rsidR="000B4283">
              <w:rPr>
                <w:noProof/>
                <w:webHidden/>
              </w:rPr>
            </w:r>
            <w:r w:rsidR="000B4283">
              <w:rPr>
                <w:noProof/>
                <w:webHidden/>
              </w:rPr>
              <w:fldChar w:fldCharType="separate"/>
            </w:r>
            <w:r w:rsidR="00CF0516">
              <w:rPr>
                <w:noProof/>
                <w:webHidden/>
              </w:rPr>
              <w:t>13</w:t>
            </w:r>
            <w:r w:rsidR="000B4283">
              <w:rPr>
                <w:noProof/>
                <w:webHidden/>
              </w:rPr>
              <w:fldChar w:fldCharType="end"/>
            </w:r>
          </w:hyperlink>
        </w:p>
        <w:p w14:paraId="7E8C9C40" w14:textId="159F04DD" w:rsidR="000B4283" w:rsidRDefault="00367CD9">
          <w:pPr>
            <w:pStyle w:val="Spistreci3"/>
            <w:rPr>
              <w:rFonts w:asciiTheme="minorHAnsi" w:eastAsiaTheme="minorEastAsia" w:hAnsiTheme="minorHAnsi" w:cstheme="minorBidi"/>
              <w:noProof/>
              <w:sz w:val="22"/>
              <w:szCs w:val="22"/>
              <w:lang w:eastAsia="pl-PL"/>
            </w:rPr>
          </w:pPr>
          <w:hyperlink w:anchor="_Toc129602553" w:history="1">
            <w:r w:rsidR="000B4283" w:rsidRPr="00085CD3">
              <w:rPr>
                <w:rStyle w:val="Hipercze"/>
                <w:rFonts w:eastAsia="Calibri" w:cs="Arial"/>
                <w:b/>
                <w:bCs/>
                <w:noProof/>
                <w:lang w:eastAsia="en-US"/>
              </w:rPr>
              <w:t>1.3.2 WSPARCIE ROZWOJU I KONKURENCYJNOŚCI MŚP W FORMIE DOTACJI</w:t>
            </w:r>
            <w:r w:rsidR="000B4283">
              <w:rPr>
                <w:noProof/>
                <w:webHidden/>
              </w:rPr>
              <w:tab/>
            </w:r>
            <w:r w:rsidR="000B4283">
              <w:rPr>
                <w:noProof/>
                <w:webHidden/>
              </w:rPr>
              <w:fldChar w:fldCharType="begin"/>
            </w:r>
            <w:r w:rsidR="000B4283">
              <w:rPr>
                <w:noProof/>
                <w:webHidden/>
              </w:rPr>
              <w:instrText xml:space="preserve"> PAGEREF _Toc129602553 \h </w:instrText>
            </w:r>
            <w:r w:rsidR="000B4283">
              <w:rPr>
                <w:noProof/>
                <w:webHidden/>
              </w:rPr>
            </w:r>
            <w:r w:rsidR="000B4283">
              <w:rPr>
                <w:noProof/>
                <w:webHidden/>
              </w:rPr>
              <w:fldChar w:fldCharType="separate"/>
            </w:r>
            <w:r w:rsidR="00CF0516">
              <w:rPr>
                <w:noProof/>
                <w:webHidden/>
              </w:rPr>
              <w:t>14</w:t>
            </w:r>
            <w:r w:rsidR="000B4283">
              <w:rPr>
                <w:noProof/>
                <w:webHidden/>
              </w:rPr>
              <w:fldChar w:fldCharType="end"/>
            </w:r>
          </w:hyperlink>
        </w:p>
        <w:p w14:paraId="73533836" w14:textId="23B45ABD" w:rsidR="000B4283" w:rsidRDefault="00367CD9">
          <w:pPr>
            <w:pStyle w:val="Spistreci1"/>
            <w:rPr>
              <w:rFonts w:asciiTheme="minorHAnsi" w:eastAsiaTheme="minorEastAsia" w:hAnsiTheme="minorHAnsi" w:cstheme="minorBidi"/>
              <w:b w:val="0"/>
              <w:noProof/>
              <w:szCs w:val="22"/>
              <w:lang w:eastAsia="pl-PL"/>
            </w:rPr>
          </w:pPr>
          <w:hyperlink w:anchor="_Toc129602554" w:history="1">
            <w:r w:rsidR="000B4283" w:rsidRPr="00085CD3">
              <w:rPr>
                <w:rStyle w:val="Hipercze"/>
                <w:noProof/>
              </w:rPr>
              <w:t>2. Katalogi wydatków w ramach Priorytetów 2-6 FEP 2021-2027</w:t>
            </w:r>
            <w:r w:rsidR="000B4283">
              <w:rPr>
                <w:noProof/>
                <w:webHidden/>
              </w:rPr>
              <w:tab/>
            </w:r>
            <w:r w:rsidR="000B4283">
              <w:rPr>
                <w:noProof/>
                <w:webHidden/>
              </w:rPr>
              <w:fldChar w:fldCharType="begin"/>
            </w:r>
            <w:r w:rsidR="000B4283">
              <w:rPr>
                <w:noProof/>
                <w:webHidden/>
              </w:rPr>
              <w:instrText xml:space="preserve"> PAGEREF _Toc129602554 \h </w:instrText>
            </w:r>
            <w:r w:rsidR="000B4283">
              <w:rPr>
                <w:noProof/>
                <w:webHidden/>
              </w:rPr>
            </w:r>
            <w:r w:rsidR="000B4283">
              <w:rPr>
                <w:noProof/>
                <w:webHidden/>
              </w:rPr>
              <w:fldChar w:fldCharType="separate"/>
            </w:r>
            <w:r w:rsidR="00CF0516">
              <w:rPr>
                <w:noProof/>
                <w:webHidden/>
              </w:rPr>
              <w:t>17</w:t>
            </w:r>
            <w:r w:rsidR="000B4283">
              <w:rPr>
                <w:noProof/>
                <w:webHidden/>
              </w:rPr>
              <w:fldChar w:fldCharType="end"/>
            </w:r>
          </w:hyperlink>
        </w:p>
        <w:p w14:paraId="5AA05E49" w14:textId="66E3D1A0" w:rsidR="000B4283" w:rsidRDefault="00367CD9">
          <w:pPr>
            <w:pStyle w:val="Spistreci2"/>
            <w:rPr>
              <w:rFonts w:asciiTheme="minorHAnsi" w:eastAsiaTheme="minorEastAsia" w:hAnsiTheme="minorHAnsi" w:cstheme="minorBidi"/>
              <w:noProof/>
              <w:sz w:val="22"/>
              <w:szCs w:val="22"/>
              <w:lang w:eastAsia="pl-PL"/>
            </w:rPr>
          </w:pPr>
          <w:hyperlink w:anchor="_Toc129602555" w:history="1">
            <w:r w:rsidR="000B4283" w:rsidRPr="00085CD3">
              <w:rPr>
                <w:rStyle w:val="Hipercze"/>
                <w:noProof/>
              </w:rPr>
              <w:t>2.1 Zasady ogólne</w:t>
            </w:r>
            <w:r w:rsidR="000B4283">
              <w:rPr>
                <w:noProof/>
                <w:webHidden/>
              </w:rPr>
              <w:tab/>
            </w:r>
            <w:r w:rsidR="000B4283">
              <w:rPr>
                <w:noProof/>
                <w:webHidden/>
              </w:rPr>
              <w:fldChar w:fldCharType="begin"/>
            </w:r>
            <w:r w:rsidR="000B4283">
              <w:rPr>
                <w:noProof/>
                <w:webHidden/>
              </w:rPr>
              <w:instrText xml:space="preserve"> PAGEREF _Toc129602555 \h </w:instrText>
            </w:r>
            <w:r w:rsidR="000B4283">
              <w:rPr>
                <w:noProof/>
                <w:webHidden/>
              </w:rPr>
            </w:r>
            <w:r w:rsidR="000B4283">
              <w:rPr>
                <w:noProof/>
                <w:webHidden/>
              </w:rPr>
              <w:fldChar w:fldCharType="separate"/>
            </w:r>
            <w:r w:rsidR="00CF0516">
              <w:rPr>
                <w:noProof/>
                <w:webHidden/>
              </w:rPr>
              <w:t>17</w:t>
            </w:r>
            <w:r w:rsidR="000B4283">
              <w:rPr>
                <w:noProof/>
                <w:webHidden/>
              </w:rPr>
              <w:fldChar w:fldCharType="end"/>
            </w:r>
          </w:hyperlink>
        </w:p>
        <w:p w14:paraId="554DFB4C" w14:textId="58894FF8" w:rsidR="000B4283" w:rsidRDefault="00367CD9">
          <w:pPr>
            <w:pStyle w:val="Spistreci2"/>
            <w:rPr>
              <w:rFonts w:asciiTheme="minorHAnsi" w:eastAsiaTheme="minorEastAsia" w:hAnsiTheme="minorHAnsi" w:cstheme="minorBidi"/>
              <w:noProof/>
              <w:sz w:val="22"/>
              <w:szCs w:val="22"/>
              <w:lang w:eastAsia="pl-PL"/>
            </w:rPr>
          </w:pPr>
          <w:hyperlink w:anchor="_Toc129602556" w:history="1">
            <w:r w:rsidR="000B4283" w:rsidRPr="00085CD3">
              <w:rPr>
                <w:rStyle w:val="Hipercze"/>
                <w:noProof/>
              </w:rPr>
              <w:t>2.2 Zasady szczegółowe</w:t>
            </w:r>
            <w:r w:rsidR="000B4283">
              <w:rPr>
                <w:noProof/>
                <w:webHidden/>
              </w:rPr>
              <w:tab/>
            </w:r>
            <w:r w:rsidR="000B4283">
              <w:rPr>
                <w:noProof/>
                <w:webHidden/>
              </w:rPr>
              <w:fldChar w:fldCharType="begin"/>
            </w:r>
            <w:r w:rsidR="000B4283">
              <w:rPr>
                <w:noProof/>
                <w:webHidden/>
              </w:rPr>
              <w:instrText xml:space="preserve"> PAGEREF _Toc129602556 \h </w:instrText>
            </w:r>
            <w:r w:rsidR="000B4283">
              <w:rPr>
                <w:noProof/>
                <w:webHidden/>
              </w:rPr>
            </w:r>
            <w:r w:rsidR="000B4283">
              <w:rPr>
                <w:noProof/>
                <w:webHidden/>
              </w:rPr>
              <w:fldChar w:fldCharType="separate"/>
            </w:r>
            <w:r w:rsidR="00CF0516">
              <w:rPr>
                <w:noProof/>
                <w:webHidden/>
              </w:rPr>
              <w:t>19</w:t>
            </w:r>
            <w:r w:rsidR="000B4283">
              <w:rPr>
                <w:noProof/>
                <w:webHidden/>
              </w:rPr>
              <w:fldChar w:fldCharType="end"/>
            </w:r>
          </w:hyperlink>
        </w:p>
        <w:p w14:paraId="2BAE7837" w14:textId="3FAD20F1" w:rsidR="000B4283" w:rsidRDefault="00367CD9">
          <w:pPr>
            <w:pStyle w:val="Spistreci3"/>
            <w:rPr>
              <w:rFonts w:asciiTheme="minorHAnsi" w:eastAsiaTheme="minorEastAsia" w:hAnsiTheme="minorHAnsi" w:cstheme="minorBidi"/>
              <w:noProof/>
              <w:sz w:val="22"/>
              <w:szCs w:val="22"/>
              <w:lang w:eastAsia="pl-PL"/>
            </w:rPr>
          </w:pPr>
          <w:hyperlink w:anchor="_Toc129602557" w:history="1">
            <w:r w:rsidR="000B4283" w:rsidRPr="00085CD3">
              <w:rPr>
                <w:rStyle w:val="Hipercze"/>
                <w:rFonts w:cs="Arial"/>
                <w:b/>
                <w:noProof/>
                <w:lang w:eastAsia="en-US"/>
              </w:rPr>
              <w:t>2.2.1 Działanie 2.1 Poprawa jakości powietrza – dotacja</w:t>
            </w:r>
            <w:r w:rsidR="000B4283">
              <w:rPr>
                <w:noProof/>
                <w:webHidden/>
              </w:rPr>
              <w:tab/>
            </w:r>
            <w:r w:rsidR="000B4283">
              <w:rPr>
                <w:noProof/>
                <w:webHidden/>
              </w:rPr>
              <w:fldChar w:fldCharType="begin"/>
            </w:r>
            <w:r w:rsidR="000B4283">
              <w:rPr>
                <w:noProof/>
                <w:webHidden/>
              </w:rPr>
              <w:instrText xml:space="preserve"> PAGEREF _Toc129602557 \h </w:instrText>
            </w:r>
            <w:r w:rsidR="000B4283">
              <w:rPr>
                <w:noProof/>
                <w:webHidden/>
              </w:rPr>
            </w:r>
            <w:r w:rsidR="000B4283">
              <w:rPr>
                <w:noProof/>
                <w:webHidden/>
              </w:rPr>
              <w:fldChar w:fldCharType="separate"/>
            </w:r>
            <w:r w:rsidR="00CF0516">
              <w:rPr>
                <w:noProof/>
                <w:webHidden/>
              </w:rPr>
              <w:t>19</w:t>
            </w:r>
            <w:r w:rsidR="000B4283">
              <w:rPr>
                <w:noProof/>
                <w:webHidden/>
              </w:rPr>
              <w:fldChar w:fldCharType="end"/>
            </w:r>
          </w:hyperlink>
        </w:p>
        <w:p w14:paraId="5F469525" w14:textId="6ED5F7BE" w:rsidR="000B4283" w:rsidRDefault="00367CD9">
          <w:pPr>
            <w:pStyle w:val="Spistreci3"/>
            <w:rPr>
              <w:rFonts w:asciiTheme="minorHAnsi" w:eastAsiaTheme="minorEastAsia" w:hAnsiTheme="minorHAnsi" w:cstheme="minorBidi"/>
              <w:noProof/>
              <w:sz w:val="22"/>
              <w:szCs w:val="22"/>
              <w:lang w:eastAsia="pl-PL"/>
            </w:rPr>
          </w:pPr>
          <w:hyperlink w:anchor="_Toc129602558" w:history="1">
            <w:r w:rsidR="000B4283" w:rsidRPr="00085CD3">
              <w:rPr>
                <w:rStyle w:val="Hipercze"/>
                <w:rFonts w:cs="Arial"/>
                <w:b/>
                <w:noProof/>
                <w:lang w:eastAsia="en-US"/>
              </w:rPr>
              <w:t>2.2.2 Działanie 2.3 Odnawialne źródła energii – dotacja</w:t>
            </w:r>
            <w:r w:rsidR="000B4283">
              <w:rPr>
                <w:noProof/>
                <w:webHidden/>
              </w:rPr>
              <w:tab/>
            </w:r>
            <w:r w:rsidR="000B4283">
              <w:rPr>
                <w:noProof/>
                <w:webHidden/>
              </w:rPr>
              <w:fldChar w:fldCharType="begin"/>
            </w:r>
            <w:r w:rsidR="000B4283">
              <w:rPr>
                <w:noProof/>
                <w:webHidden/>
              </w:rPr>
              <w:instrText xml:space="preserve"> PAGEREF _Toc129602558 \h </w:instrText>
            </w:r>
            <w:r w:rsidR="000B4283">
              <w:rPr>
                <w:noProof/>
                <w:webHidden/>
              </w:rPr>
            </w:r>
            <w:r w:rsidR="000B4283">
              <w:rPr>
                <w:noProof/>
                <w:webHidden/>
              </w:rPr>
              <w:fldChar w:fldCharType="separate"/>
            </w:r>
            <w:r w:rsidR="00CF0516">
              <w:rPr>
                <w:noProof/>
                <w:webHidden/>
              </w:rPr>
              <w:t>19</w:t>
            </w:r>
            <w:r w:rsidR="000B4283">
              <w:rPr>
                <w:noProof/>
                <w:webHidden/>
              </w:rPr>
              <w:fldChar w:fldCharType="end"/>
            </w:r>
          </w:hyperlink>
        </w:p>
        <w:p w14:paraId="31D48B01" w14:textId="630F9983" w:rsidR="000B4283" w:rsidRDefault="00367CD9">
          <w:pPr>
            <w:pStyle w:val="Spistreci3"/>
            <w:rPr>
              <w:rFonts w:asciiTheme="minorHAnsi" w:eastAsiaTheme="minorEastAsia" w:hAnsiTheme="minorHAnsi" w:cstheme="minorBidi"/>
              <w:noProof/>
              <w:sz w:val="22"/>
              <w:szCs w:val="22"/>
              <w:lang w:eastAsia="pl-PL"/>
            </w:rPr>
          </w:pPr>
          <w:hyperlink w:anchor="_Toc129602559" w:history="1">
            <w:r w:rsidR="000B4283" w:rsidRPr="00085CD3">
              <w:rPr>
                <w:rStyle w:val="Hipercze"/>
                <w:rFonts w:cs="Arial"/>
                <w:b/>
                <w:noProof/>
                <w:lang w:eastAsia="en-US"/>
              </w:rPr>
              <w:t>2.2.3 Działanie 2.5 Adaptacja do zmian klimatu</w:t>
            </w:r>
            <w:r w:rsidR="000B4283">
              <w:rPr>
                <w:noProof/>
                <w:webHidden/>
              </w:rPr>
              <w:tab/>
            </w:r>
            <w:r w:rsidR="000B4283">
              <w:rPr>
                <w:noProof/>
                <w:webHidden/>
              </w:rPr>
              <w:fldChar w:fldCharType="begin"/>
            </w:r>
            <w:r w:rsidR="000B4283">
              <w:rPr>
                <w:noProof/>
                <w:webHidden/>
              </w:rPr>
              <w:instrText xml:space="preserve"> PAGEREF _Toc129602559 \h </w:instrText>
            </w:r>
            <w:r w:rsidR="000B4283">
              <w:rPr>
                <w:noProof/>
                <w:webHidden/>
              </w:rPr>
            </w:r>
            <w:r w:rsidR="000B4283">
              <w:rPr>
                <w:noProof/>
                <w:webHidden/>
              </w:rPr>
              <w:fldChar w:fldCharType="separate"/>
            </w:r>
            <w:r w:rsidR="00CF0516">
              <w:rPr>
                <w:noProof/>
                <w:webHidden/>
              </w:rPr>
              <w:t>19</w:t>
            </w:r>
            <w:r w:rsidR="000B4283">
              <w:rPr>
                <w:noProof/>
                <w:webHidden/>
              </w:rPr>
              <w:fldChar w:fldCharType="end"/>
            </w:r>
          </w:hyperlink>
        </w:p>
        <w:p w14:paraId="41E561AE" w14:textId="3BFB2B24" w:rsidR="000B4283" w:rsidRDefault="00367CD9">
          <w:pPr>
            <w:pStyle w:val="Spistreci3"/>
            <w:rPr>
              <w:rFonts w:asciiTheme="minorHAnsi" w:eastAsiaTheme="minorEastAsia" w:hAnsiTheme="minorHAnsi" w:cstheme="minorBidi"/>
              <w:noProof/>
              <w:sz w:val="22"/>
              <w:szCs w:val="22"/>
              <w:lang w:eastAsia="pl-PL"/>
            </w:rPr>
          </w:pPr>
          <w:hyperlink w:anchor="_Toc129602560" w:history="1">
            <w:r w:rsidR="000B4283" w:rsidRPr="00085CD3">
              <w:rPr>
                <w:rStyle w:val="Hipercze"/>
                <w:rFonts w:cs="Arial"/>
                <w:b/>
                <w:noProof/>
                <w:lang w:eastAsia="en-US"/>
              </w:rPr>
              <w:t>2.2.4 Działanie 2.6 Zrównoważona gospodarka wodno-ściekowa</w:t>
            </w:r>
            <w:r w:rsidR="000B4283">
              <w:rPr>
                <w:noProof/>
                <w:webHidden/>
              </w:rPr>
              <w:tab/>
            </w:r>
            <w:r w:rsidR="000B4283">
              <w:rPr>
                <w:noProof/>
                <w:webHidden/>
              </w:rPr>
              <w:fldChar w:fldCharType="begin"/>
            </w:r>
            <w:r w:rsidR="000B4283">
              <w:rPr>
                <w:noProof/>
                <w:webHidden/>
              </w:rPr>
              <w:instrText xml:space="preserve"> PAGEREF _Toc129602560 \h </w:instrText>
            </w:r>
            <w:r w:rsidR="000B4283">
              <w:rPr>
                <w:noProof/>
                <w:webHidden/>
              </w:rPr>
            </w:r>
            <w:r w:rsidR="000B4283">
              <w:rPr>
                <w:noProof/>
                <w:webHidden/>
              </w:rPr>
              <w:fldChar w:fldCharType="separate"/>
            </w:r>
            <w:r w:rsidR="00CF0516">
              <w:rPr>
                <w:noProof/>
                <w:webHidden/>
              </w:rPr>
              <w:t>19</w:t>
            </w:r>
            <w:r w:rsidR="000B4283">
              <w:rPr>
                <w:noProof/>
                <w:webHidden/>
              </w:rPr>
              <w:fldChar w:fldCharType="end"/>
            </w:r>
          </w:hyperlink>
        </w:p>
        <w:p w14:paraId="17E13285" w14:textId="3FD34ABF" w:rsidR="000B4283" w:rsidRDefault="00367CD9">
          <w:pPr>
            <w:pStyle w:val="Spistreci3"/>
            <w:rPr>
              <w:rFonts w:asciiTheme="minorHAnsi" w:eastAsiaTheme="minorEastAsia" w:hAnsiTheme="minorHAnsi" w:cstheme="minorBidi"/>
              <w:noProof/>
              <w:sz w:val="22"/>
              <w:szCs w:val="22"/>
              <w:lang w:eastAsia="pl-PL"/>
            </w:rPr>
          </w:pPr>
          <w:hyperlink w:anchor="_Toc129602561" w:history="1">
            <w:r w:rsidR="000B4283" w:rsidRPr="00085CD3">
              <w:rPr>
                <w:rStyle w:val="Hipercze"/>
                <w:rFonts w:cs="Arial"/>
                <w:b/>
                <w:noProof/>
                <w:lang w:eastAsia="en-US"/>
              </w:rPr>
              <w:t>2.2.5 Działanie 2.7 Gospodarka o obiegu zamkniętym</w:t>
            </w:r>
            <w:r w:rsidR="000B4283">
              <w:rPr>
                <w:noProof/>
                <w:webHidden/>
              </w:rPr>
              <w:tab/>
            </w:r>
            <w:r w:rsidR="000B4283">
              <w:rPr>
                <w:noProof/>
                <w:webHidden/>
              </w:rPr>
              <w:fldChar w:fldCharType="begin"/>
            </w:r>
            <w:r w:rsidR="000B4283">
              <w:rPr>
                <w:noProof/>
                <w:webHidden/>
              </w:rPr>
              <w:instrText xml:space="preserve"> PAGEREF _Toc129602561 \h </w:instrText>
            </w:r>
            <w:r w:rsidR="000B4283">
              <w:rPr>
                <w:noProof/>
                <w:webHidden/>
              </w:rPr>
            </w:r>
            <w:r w:rsidR="000B4283">
              <w:rPr>
                <w:noProof/>
                <w:webHidden/>
              </w:rPr>
              <w:fldChar w:fldCharType="separate"/>
            </w:r>
            <w:r w:rsidR="00CF0516">
              <w:rPr>
                <w:noProof/>
                <w:webHidden/>
              </w:rPr>
              <w:t>20</w:t>
            </w:r>
            <w:r w:rsidR="000B4283">
              <w:rPr>
                <w:noProof/>
                <w:webHidden/>
              </w:rPr>
              <w:fldChar w:fldCharType="end"/>
            </w:r>
          </w:hyperlink>
        </w:p>
        <w:p w14:paraId="355BD7C8" w14:textId="6ECC5276" w:rsidR="000B4283" w:rsidRDefault="00367CD9">
          <w:pPr>
            <w:pStyle w:val="Spistreci3"/>
            <w:rPr>
              <w:rFonts w:asciiTheme="minorHAnsi" w:eastAsiaTheme="minorEastAsia" w:hAnsiTheme="minorHAnsi" w:cstheme="minorBidi"/>
              <w:noProof/>
              <w:sz w:val="22"/>
              <w:szCs w:val="22"/>
              <w:lang w:eastAsia="pl-PL"/>
            </w:rPr>
          </w:pPr>
          <w:hyperlink w:anchor="_Toc129602562" w:history="1">
            <w:r w:rsidR="000B4283" w:rsidRPr="00085CD3">
              <w:rPr>
                <w:rStyle w:val="Hipercze"/>
                <w:rFonts w:cs="Arial"/>
                <w:b/>
                <w:noProof/>
                <w:lang w:eastAsia="en-US"/>
              </w:rPr>
              <w:t>2.2.6 Działanie 2. 8 Ochrona przyrody i różnorodności biologicznej</w:t>
            </w:r>
            <w:r w:rsidR="000B4283">
              <w:rPr>
                <w:noProof/>
                <w:webHidden/>
              </w:rPr>
              <w:tab/>
            </w:r>
            <w:r w:rsidR="000B4283">
              <w:rPr>
                <w:noProof/>
                <w:webHidden/>
              </w:rPr>
              <w:fldChar w:fldCharType="begin"/>
            </w:r>
            <w:r w:rsidR="000B4283">
              <w:rPr>
                <w:noProof/>
                <w:webHidden/>
              </w:rPr>
              <w:instrText xml:space="preserve"> PAGEREF _Toc129602562 \h </w:instrText>
            </w:r>
            <w:r w:rsidR="000B4283">
              <w:rPr>
                <w:noProof/>
                <w:webHidden/>
              </w:rPr>
            </w:r>
            <w:r w:rsidR="000B4283">
              <w:rPr>
                <w:noProof/>
                <w:webHidden/>
              </w:rPr>
              <w:fldChar w:fldCharType="separate"/>
            </w:r>
            <w:r w:rsidR="00CF0516">
              <w:rPr>
                <w:noProof/>
                <w:webHidden/>
              </w:rPr>
              <w:t>20</w:t>
            </w:r>
            <w:r w:rsidR="000B4283">
              <w:rPr>
                <w:noProof/>
                <w:webHidden/>
              </w:rPr>
              <w:fldChar w:fldCharType="end"/>
            </w:r>
          </w:hyperlink>
        </w:p>
        <w:p w14:paraId="1F71E7BA" w14:textId="035A1070" w:rsidR="000B4283" w:rsidRDefault="00367CD9">
          <w:pPr>
            <w:pStyle w:val="Spistreci3"/>
            <w:rPr>
              <w:rFonts w:asciiTheme="minorHAnsi" w:eastAsiaTheme="minorEastAsia" w:hAnsiTheme="minorHAnsi" w:cstheme="minorBidi"/>
              <w:noProof/>
              <w:sz w:val="22"/>
              <w:szCs w:val="22"/>
              <w:lang w:eastAsia="pl-PL"/>
            </w:rPr>
          </w:pPr>
          <w:hyperlink w:anchor="_Toc129602563" w:history="1">
            <w:r w:rsidR="000B4283" w:rsidRPr="00085CD3">
              <w:rPr>
                <w:rStyle w:val="Hipercze"/>
                <w:rFonts w:cs="Arial"/>
                <w:b/>
                <w:noProof/>
                <w:lang w:eastAsia="en-US"/>
              </w:rPr>
              <w:t>2.2.7 Działanie 3.1 Zrównoważona mobilność miejska</w:t>
            </w:r>
            <w:r w:rsidR="000B4283">
              <w:rPr>
                <w:noProof/>
                <w:webHidden/>
              </w:rPr>
              <w:tab/>
            </w:r>
            <w:r w:rsidR="000B4283">
              <w:rPr>
                <w:noProof/>
                <w:webHidden/>
              </w:rPr>
              <w:fldChar w:fldCharType="begin"/>
            </w:r>
            <w:r w:rsidR="000B4283">
              <w:rPr>
                <w:noProof/>
                <w:webHidden/>
              </w:rPr>
              <w:instrText xml:space="preserve"> PAGEREF _Toc129602563 \h </w:instrText>
            </w:r>
            <w:r w:rsidR="000B4283">
              <w:rPr>
                <w:noProof/>
                <w:webHidden/>
              </w:rPr>
            </w:r>
            <w:r w:rsidR="000B4283">
              <w:rPr>
                <w:noProof/>
                <w:webHidden/>
              </w:rPr>
              <w:fldChar w:fldCharType="separate"/>
            </w:r>
            <w:r w:rsidR="00CF0516">
              <w:rPr>
                <w:noProof/>
                <w:webHidden/>
              </w:rPr>
              <w:t>20</w:t>
            </w:r>
            <w:r w:rsidR="000B4283">
              <w:rPr>
                <w:noProof/>
                <w:webHidden/>
              </w:rPr>
              <w:fldChar w:fldCharType="end"/>
            </w:r>
          </w:hyperlink>
        </w:p>
        <w:p w14:paraId="6FD39CC4" w14:textId="63E5E25E" w:rsidR="000B4283" w:rsidRDefault="00367CD9">
          <w:pPr>
            <w:pStyle w:val="Spistreci3"/>
            <w:rPr>
              <w:rFonts w:asciiTheme="minorHAnsi" w:eastAsiaTheme="minorEastAsia" w:hAnsiTheme="minorHAnsi" w:cstheme="minorBidi"/>
              <w:noProof/>
              <w:sz w:val="22"/>
              <w:szCs w:val="22"/>
              <w:lang w:eastAsia="pl-PL"/>
            </w:rPr>
          </w:pPr>
          <w:hyperlink w:anchor="_Toc129602564" w:history="1">
            <w:r w:rsidR="000B4283" w:rsidRPr="00085CD3">
              <w:rPr>
                <w:rStyle w:val="Hipercze"/>
                <w:rFonts w:cs="Arial"/>
                <w:b/>
                <w:noProof/>
                <w:lang w:eastAsia="en-US"/>
              </w:rPr>
              <w:t>2.2.8 Działanie 4.1 Drogi wojewódzkie</w:t>
            </w:r>
            <w:r w:rsidR="000B4283">
              <w:rPr>
                <w:noProof/>
                <w:webHidden/>
              </w:rPr>
              <w:tab/>
            </w:r>
            <w:r w:rsidR="000B4283">
              <w:rPr>
                <w:noProof/>
                <w:webHidden/>
              </w:rPr>
              <w:fldChar w:fldCharType="begin"/>
            </w:r>
            <w:r w:rsidR="000B4283">
              <w:rPr>
                <w:noProof/>
                <w:webHidden/>
              </w:rPr>
              <w:instrText xml:space="preserve"> PAGEREF _Toc129602564 \h </w:instrText>
            </w:r>
            <w:r w:rsidR="000B4283">
              <w:rPr>
                <w:noProof/>
                <w:webHidden/>
              </w:rPr>
            </w:r>
            <w:r w:rsidR="000B4283">
              <w:rPr>
                <w:noProof/>
                <w:webHidden/>
              </w:rPr>
              <w:fldChar w:fldCharType="separate"/>
            </w:r>
            <w:r w:rsidR="00CF0516">
              <w:rPr>
                <w:noProof/>
                <w:webHidden/>
              </w:rPr>
              <w:t>20</w:t>
            </w:r>
            <w:r w:rsidR="000B4283">
              <w:rPr>
                <w:noProof/>
                <w:webHidden/>
              </w:rPr>
              <w:fldChar w:fldCharType="end"/>
            </w:r>
          </w:hyperlink>
        </w:p>
        <w:p w14:paraId="2431EF02" w14:textId="3D93A99E" w:rsidR="000B4283" w:rsidRDefault="00367CD9">
          <w:pPr>
            <w:pStyle w:val="Spistreci3"/>
            <w:rPr>
              <w:rFonts w:asciiTheme="minorHAnsi" w:eastAsiaTheme="minorEastAsia" w:hAnsiTheme="minorHAnsi" w:cstheme="minorBidi"/>
              <w:noProof/>
              <w:sz w:val="22"/>
              <w:szCs w:val="22"/>
              <w:lang w:eastAsia="pl-PL"/>
            </w:rPr>
          </w:pPr>
          <w:hyperlink w:anchor="_Toc129602565" w:history="1">
            <w:r w:rsidR="000B4283" w:rsidRPr="00085CD3">
              <w:rPr>
                <w:rStyle w:val="Hipercze"/>
                <w:rFonts w:cs="Arial"/>
                <w:b/>
                <w:noProof/>
                <w:lang w:eastAsia="en-US"/>
              </w:rPr>
              <w:t>2.2.9 Działanie 4.2 Tabor kolejowy</w:t>
            </w:r>
            <w:r w:rsidR="000B4283">
              <w:rPr>
                <w:noProof/>
                <w:webHidden/>
              </w:rPr>
              <w:tab/>
            </w:r>
            <w:r w:rsidR="000B4283">
              <w:rPr>
                <w:noProof/>
                <w:webHidden/>
              </w:rPr>
              <w:fldChar w:fldCharType="begin"/>
            </w:r>
            <w:r w:rsidR="000B4283">
              <w:rPr>
                <w:noProof/>
                <w:webHidden/>
              </w:rPr>
              <w:instrText xml:space="preserve"> PAGEREF _Toc129602565 \h </w:instrText>
            </w:r>
            <w:r w:rsidR="000B4283">
              <w:rPr>
                <w:noProof/>
                <w:webHidden/>
              </w:rPr>
            </w:r>
            <w:r w:rsidR="000B4283">
              <w:rPr>
                <w:noProof/>
                <w:webHidden/>
              </w:rPr>
              <w:fldChar w:fldCharType="separate"/>
            </w:r>
            <w:r w:rsidR="00CF0516">
              <w:rPr>
                <w:noProof/>
                <w:webHidden/>
              </w:rPr>
              <w:t>20</w:t>
            </w:r>
            <w:r w:rsidR="000B4283">
              <w:rPr>
                <w:noProof/>
                <w:webHidden/>
              </w:rPr>
              <w:fldChar w:fldCharType="end"/>
            </w:r>
          </w:hyperlink>
        </w:p>
        <w:p w14:paraId="2AAAF778" w14:textId="59053BB7" w:rsidR="000B4283" w:rsidRDefault="00367CD9">
          <w:pPr>
            <w:pStyle w:val="Spistreci3"/>
            <w:rPr>
              <w:rFonts w:asciiTheme="minorHAnsi" w:eastAsiaTheme="minorEastAsia" w:hAnsiTheme="minorHAnsi" w:cstheme="minorBidi"/>
              <w:noProof/>
              <w:sz w:val="22"/>
              <w:szCs w:val="22"/>
              <w:lang w:eastAsia="pl-PL"/>
            </w:rPr>
          </w:pPr>
          <w:hyperlink w:anchor="_Toc129602566" w:history="1">
            <w:r w:rsidR="000B4283" w:rsidRPr="00085CD3">
              <w:rPr>
                <w:rStyle w:val="Hipercze"/>
                <w:rFonts w:cs="Arial"/>
                <w:b/>
                <w:noProof/>
                <w:lang w:eastAsia="en-US"/>
              </w:rPr>
              <w:t>2.2.10 Działanie 4.3 Zrównoważony transport pozamiejski</w:t>
            </w:r>
            <w:r w:rsidR="000B4283">
              <w:rPr>
                <w:noProof/>
                <w:webHidden/>
              </w:rPr>
              <w:tab/>
            </w:r>
            <w:r w:rsidR="000B4283">
              <w:rPr>
                <w:noProof/>
                <w:webHidden/>
              </w:rPr>
              <w:fldChar w:fldCharType="begin"/>
            </w:r>
            <w:r w:rsidR="000B4283">
              <w:rPr>
                <w:noProof/>
                <w:webHidden/>
              </w:rPr>
              <w:instrText xml:space="preserve"> PAGEREF _Toc129602566 \h </w:instrText>
            </w:r>
            <w:r w:rsidR="000B4283">
              <w:rPr>
                <w:noProof/>
                <w:webHidden/>
              </w:rPr>
            </w:r>
            <w:r w:rsidR="000B4283">
              <w:rPr>
                <w:noProof/>
                <w:webHidden/>
              </w:rPr>
              <w:fldChar w:fldCharType="separate"/>
            </w:r>
            <w:r w:rsidR="00CF0516">
              <w:rPr>
                <w:noProof/>
                <w:webHidden/>
              </w:rPr>
              <w:t>20</w:t>
            </w:r>
            <w:r w:rsidR="000B4283">
              <w:rPr>
                <w:noProof/>
                <w:webHidden/>
              </w:rPr>
              <w:fldChar w:fldCharType="end"/>
            </w:r>
          </w:hyperlink>
        </w:p>
        <w:p w14:paraId="7BE484F7" w14:textId="3D581377" w:rsidR="000B4283" w:rsidRDefault="00367CD9">
          <w:pPr>
            <w:pStyle w:val="Spistreci3"/>
            <w:rPr>
              <w:rFonts w:asciiTheme="minorHAnsi" w:eastAsiaTheme="minorEastAsia" w:hAnsiTheme="minorHAnsi" w:cstheme="minorBidi"/>
              <w:noProof/>
              <w:sz w:val="22"/>
              <w:szCs w:val="22"/>
              <w:lang w:eastAsia="pl-PL"/>
            </w:rPr>
          </w:pPr>
          <w:hyperlink w:anchor="_Toc129602567" w:history="1">
            <w:r w:rsidR="000B4283" w:rsidRPr="00085CD3">
              <w:rPr>
                <w:rStyle w:val="Hipercze"/>
                <w:b/>
                <w:noProof/>
                <w:lang w:eastAsia="en-US"/>
              </w:rPr>
              <w:t>2.2.11 Działanie 5.1 Edukacja</w:t>
            </w:r>
            <w:r w:rsidR="000B4283">
              <w:rPr>
                <w:noProof/>
                <w:webHidden/>
              </w:rPr>
              <w:tab/>
            </w:r>
            <w:r w:rsidR="000B4283">
              <w:rPr>
                <w:noProof/>
                <w:webHidden/>
              </w:rPr>
              <w:fldChar w:fldCharType="begin"/>
            </w:r>
            <w:r w:rsidR="000B4283">
              <w:rPr>
                <w:noProof/>
                <w:webHidden/>
              </w:rPr>
              <w:instrText xml:space="preserve"> PAGEREF _Toc129602567 \h </w:instrText>
            </w:r>
            <w:r w:rsidR="000B4283">
              <w:rPr>
                <w:noProof/>
                <w:webHidden/>
              </w:rPr>
            </w:r>
            <w:r w:rsidR="000B4283">
              <w:rPr>
                <w:noProof/>
                <w:webHidden/>
              </w:rPr>
              <w:fldChar w:fldCharType="separate"/>
            </w:r>
            <w:r w:rsidR="00CF0516">
              <w:rPr>
                <w:noProof/>
                <w:webHidden/>
              </w:rPr>
              <w:t>20</w:t>
            </w:r>
            <w:r w:rsidR="000B4283">
              <w:rPr>
                <w:noProof/>
                <w:webHidden/>
              </w:rPr>
              <w:fldChar w:fldCharType="end"/>
            </w:r>
          </w:hyperlink>
        </w:p>
        <w:p w14:paraId="08CDF7C9" w14:textId="5FFE267A" w:rsidR="000B4283" w:rsidRDefault="00367CD9">
          <w:pPr>
            <w:pStyle w:val="Spistreci3"/>
            <w:rPr>
              <w:rFonts w:asciiTheme="minorHAnsi" w:eastAsiaTheme="minorEastAsia" w:hAnsiTheme="minorHAnsi" w:cstheme="minorBidi"/>
              <w:noProof/>
              <w:sz w:val="22"/>
              <w:szCs w:val="22"/>
              <w:lang w:eastAsia="pl-PL"/>
            </w:rPr>
          </w:pPr>
          <w:hyperlink w:anchor="_Toc129602568" w:history="1">
            <w:r w:rsidR="000B4283" w:rsidRPr="00085CD3">
              <w:rPr>
                <w:rStyle w:val="Hipercze"/>
                <w:b/>
                <w:noProof/>
                <w:lang w:eastAsia="en-US"/>
              </w:rPr>
              <w:t>2.2.12 Działanie 5.2 Włączenie społeczne</w:t>
            </w:r>
            <w:r w:rsidR="000B4283">
              <w:rPr>
                <w:noProof/>
                <w:webHidden/>
              </w:rPr>
              <w:tab/>
            </w:r>
            <w:r w:rsidR="000B4283">
              <w:rPr>
                <w:noProof/>
                <w:webHidden/>
              </w:rPr>
              <w:fldChar w:fldCharType="begin"/>
            </w:r>
            <w:r w:rsidR="000B4283">
              <w:rPr>
                <w:noProof/>
                <w:webHidden/>
              </w:rPr>
              <w:instrText xml:space="preserve"> PAGEREF _Toc129602568 \h </w:instrText>
            </w:r>
            <w:r w:rsidR="000B4283">
              <w:rPr>
                <w:noProof/>
                <w:webHidden/>
              </w:rPr>
            </w:r>
            <w:r w:rsidR="000B4283">
              <w:rPr>
                <w:noProof/>
                <w:webHidden/>
              </w:rPr>
              <w:fldChar w:fldCharType="separate"/>
            </w:r>
            <w:r w:rsidR="00CF0516">
              <w:rPr>
                <w:noProof/>
                <w:webHidden/>
              </w:rPr>
              <w:t>21</w:t>
            </w:r>
            <w:r w:rsidR="000B4283">
              <w:rPr>
                <w:noProof/>
                <w:webHidden/>
              </w:rPr>
              <w:fldChar w:fldCharType="end"/>
            </w:r>
          </w:hyperlink>
        </w:p>
        <w:p w14:paraId="60A79DD4" w14:textId="721BC321" w:rsidR="000B4283" w:rsidRDefault="00367CD9">
          <w:pPr>
            <w:pStyle w:val="Spistreci3"/>
            <w:rPr>
              <w:rFonts w:asciiTheme="minorHAnsi" w:eastAsiaTheme="minorEastAsia" w:hAnsiTheme="minorHAnsi" w:cstheme="minorBidi"/>
              <w:noProof/>
              <w:sz w:val="22"/>
              <w:szCs w:val="22"/>
              <w:lang w:eastAsia="pl-PL"/>
            </w:rPr>
          </w:pPr>
          <w:hyperlink w:anchor="_Toc129602569" w:history="1">
            <w:r w:rsidR="000B4283" w:rsidRPr="00085CD3">
              <w:rPr>
                <w:rStyle w:val="Hipercze"/>
                <w:b/>
                <w:noProof/>
                <w:lang w:eastAsia="en-US"/>
              </w:rPr>
              <w:t>2.2.13 Działanie 5.3 Dostępność</w:t>
            </w:r>
            <w:r w:rsidR="000B4283">
              <w:rPr>
                <w:noProof/>
                <w:webHidden/>
              </w:rPr>
              <w:tab/>
            </w:r>
            <w:r w:rsidR="000B4283">
              <w:rPr>
                <w:noProof/>
                <w:webHidden/>
              </w:rPr>
              <w:fldChar w:fldCharType="begin"/>
            </w:r>
            <w:r w:rsidR="000B4283">
              <w:rPr>
                <w:noProof/>
                <w:webHidden/>
              </w:rPr>
              <w:instrText xml:space="preserve"> PAGEREF _Toc129602569 \h </w:instrText>
            </w:r>
            <w:r w:rsidR="000B4283">
              <w:rPr>
                <w:noProof/>
                <w:webHidden/>
              </w:rPr>
            </w:r>
            <w:r w:rsidR="000B4283">
              <w:rPr>
                <w:noProof/>
                <w:webHidden/>
              </w:rPr>
              <w:fldChar w:fldCharType="separate"/>
            </w:r>
            <w:r w:rsidR="00CF0516">
              <w:rPr>
                <w:noProof/>
                <w:webHidden/>
              </w:rPr>
              <w:t>21</w:t>
            </w:r>
            <w:r w:rsidR="000B4283">
              <w:rPr>
                <w:noProof/>
                <w:webHidden/>
              </w:rPr>
              <w:fldChar w:fldCharType="end"/>
            </w:r>
          </w:hyperlink>
        </w:p>
        <w:p w14:paraId="195EB69E" w14:textId="2BB8CC09" w:rsidR="000B4283" w:rsidRDefault="00367CD9">
          <w:pPr>
            <w:pStyle w:val="Spistreci3"/>
            <w:rPr>
              <w:rFonts w:asciiTheme="minorHAnsi" w:eastAsiaTheme="minorEastAsia" w:hAnsiTheme="minorHAnsi" w:cstheme="minorBidi"/>
              <w:noProof/>
              <w:sz w:val="22"/>
              <w:szCs w:val="22"/>
              <w:lang w:eastAsia="pl-PL"/>
            </w:rPr>
          </w:pPr>
          <w:hyperlink w:anchor="_Toc129602570" w:history="1">
            <w:r w:rsidR="000B4283" w:rsidRPr="00085CD3">
              <w:rPr>
                <w:rStyle w:val="Hipercze"/>
                <w:b/>
                <w:noProof/>
                <w:lang w:eastAsia="en-US"/>
              </w:rPr>
              <w:t>2.2.14 Działanie 5.4 Ochrona zdrowia</w:t>
            </w:r>
            <w:r w:rsidR="000B4283">
              <w:rPr>
                <w:noProof/>
                <w:webHidden/>
              </w:rPr>
              <w:tab/>
            </w:r>
            <w:r w:rsidR="000B4283">
              <w:rPr>
                <w:noProof/>
                <w:webHidden/>
              </w:rPr>
              <w:fldChar w:fldCharType="begin"/>
            </w:r>
            <w:r w:rsidR="000B4283">
              <w:rPr>
                <w:noProof/>
                <w:webHidden/>
              </w:rPr>
              <w:instrText xml:space="preserve"> PAGEREF _Toc129602570 \h </w:instrText>
            </w:r>
            <w:r w:rsidR="000B4283">
              <w:rPr>
                <w:noProof/>
                <w:webHidden/>
              </w:rPr>
            </w:r>
            <w:r w:rsidR="000B4283">
              <w:rPr>
                <w:noProof/>
                <w:webHidden/>
              </w:rPr>
              <w:fldChar w:fldCharType="separate"/>
            </w:r>
            <w:r w:rsidR="00CF0516">
              <w:rPr>
                <w:noProof/>
                <w:webHidden/>
              </w:rPr>
              <w:t>21</w:t>
            </w:r>
            <w:r w:rsidR="000B4283">
              <w:rPr>
                <w:noProof/>
                <w:webHidden/>
              </w:rPr>
              <w:fldChar w:fldCharType="end"/>
            </w:r>
          </w:hyperlink>
        </w:p>
        <w:p w14:paraId="619094C0" w14:textId="7F8E6D37" w:rsidR="000B4283" w:rsidRDefault="00367CD9">
          <w:pPr>
            <w:pStyle w:val="Spistreci3"/>
            <w:rPr>
              <w:rFonts w:asciiTheme="minorHAnsi" w:eastAsiaTheme="minorEastAsia" w:hAnsiTheme="minorHAnsi" w:cstheme="minorBidi"/>
              <w:noProof/>
              <w:sz w:val="22"/>
              <w:szCs w:val="22"/>
              <w:lang w:eastAsia="pl-PL"/>
            </w:rPr>
          </w:pPr>
          <w:hyperlink w:anchor="_Toc129602571" w:history="1">
            <w:r w:rsidR="000B4283" w:rsidRPr="00085CD3">
              <w:rPr>
                <w:rStyle w:val="Hipercze"/>
                <w:b/>
                <w:noProof/>
                <w:lang w:eastAsia="en-US"/>
              </w:rPr>
              <w:t>2.2.15 Działanie 5.5 Kultura</w:t>
            </w:r>
            <w:r w:rsidR="000B4283">
              <w:rPr>
                <w:noProof/>
                <w:webHidden/>
              </w:rPr>
              <w:tab/>
            </w:r>
            <w:r w:rsidR="000B4283">
              <w:rPr>
                <w:noProof/>
                <w:webHidden/>
              </w:rPr>
              <w:fldChar w:fldCharType="begin"/>
            </w:r>
            <w:r w:rsidR="000B4283">
              <w:rPr>
                <w:noProof/>
                <w:webHidden/>
              </w:rPr>
              <w:instrText xml:space="preserve"> PAGEREF _Toc129602571 \h </w:instrText>
            </w:r>
            <w:r w:rsidR="000B4283">
              <w:rPr>
                <w:noProof/>
                <w:webHidden/>
              </w:rPr>
            </w:r>
            <w:r w:rsidR="000B4283">
              <w:rPr>
                <w:noProof/>
                <w:webHidden/>
              </w:rPr>
              <w:fldChar w:fldCharType="separate"/>
            </w:r>
            <w:r w:rsidR="00CF0516">
              <w:rPr>
                <w:noProof/>
                <w:webHidden/>
              </w:rPr>
              <w:t>21</w:t>
            </w:r>
            <w:r w:rsidR="000B4283">
              <w:rPr>
                <w:noProof/>
                <w:webHidden/>
              </w:rPr>
              <w:fldChar w:fldCharType="end"/>
            </w:r>
          </w:hyperlink>
        </w:p>
        <w:p w14:paraId="02A7834A" w14:textId="247A556F" w:rsidR="000B4283" w:rsidRDefault="00367CD9">
          <w:pPr>
            <w:pStyle w:val="Spistreci3"/>
            <w:rPr>
              <w:rFonts w:asciiTheme="minorHAnsi" w:eastAsiaTheme="minorEastAsia" w:hAnsiTheme="minorHAnsi" w:cstheme="minorBidi"/>
              <w:noProof/>
              <w:sz w:val="22"/>
              <w:szCs w:val="22"/>
              <w:lang w:eastAsia="pl-PL"/>
            </w:rPr>
          </w:pPr>
          <w:hyperlink w:anchor="_Toc129602572" w:history="1">
            <w:r w:rsidR="000B4283" w:rsidRPr="00085CD3">
              <w:rPr>
                <w:rStyle w:val="Hipercze"/>
                <w:b/>
                <w:noProof/>
                <w:lang w:eastAsia="en-US"/>
              </w:rPr>
              <w:t>2.1.16 Działa</w:t>
            </w:r>
            <w:r w:rsidR="00461B52">
              <w:rPr>
                <w:rStyle w:val="Hipercze"/>
                <w:b/>
                <w:noProof/>
                <w:lang w:eastAsia="en-US"/>
              </w:rPr>
              <w:t xml:space="preserve">     </w:t>
            </w:r>
            <w:r w:rsidR="000B4283" w:rsidRPr="00085CD3">
              <w:rPr>
                <w:rStyle w:val="Hipercze"/>
                <w:b/>
                <w:noProof/>
                <w:lang w:eastAsia="en-US"/>
              </w:rPr>
              <w:t>nie 5.6 Szlaki turystyczne</w:t>
            </w:r>
            <w:r w:rsidR="000B4283">
              <w:rPr>
                <w:noProof/>
                <w:webHidden/>
              </w:rPr>
              <w:tab/>
            </w:r>
            <w:r w:rsidR="000B4283">
              <w:rPr>
                <w:noProof/>
                <w:webHidden/>
              </w:rPr>
              <w:fldChar w:fldCharType="begin"/>
            </w:r>
            <w:r w:rsidR="000B4283">
              <w:rPr>
                <w:noProof/>
                <w:webHidden/>
              </w:rPr>
              <w:instrText xml:space="preserve"> PAGEREF _Toc129602572 \h </w:instrText>
            </w:r>
            <w:r w:rsidR="000B4283">
              <w:rPr>
                <w:noProof/>
                <w:webHidden/>
              </w:rPr>
            </w:r>
            <w:r w:rsidR="000B4283">
              <w:rPr>
                <w:noProof/>
                <w:webHidden/>
              </w:rPr>
              <w:fldChar w:fldCharType="separate"/>
            </w:r>
            <w:r w:rsidR="00CF0516">
              <w:rPr>
                <w:noProof/>
                <w:webHidden/>
              </w:rPr>
              <w:t>21</w:t>
            </w:r>
            <w:r w:rsidR="000B4283">
              <w:rPr>
                <w:noProof/>
                <w:webHidden/>
              </w:rPr>
              <w:fldChar w:fldCharType="end"/>
            </w:r>
          </w:hyperlink>
        </w:p>
        <w:p w14:paraId="6F6452D2" w14:textId="1B554535" w:rsidR="000B4283" w:rsidRDefault="00367CD9">
          <w:pPr>
            <w:pStyle w:val="Spistreci3"/>
            <w:rPr>
              <w:rFonts w:asciiTheme="minorHAnsi" w:eastAsiaTheme="minorEastAsia" w:hAnsiTheme="minorHAnsi" w:cstheme="minorBidi"/>
              <w:noProof/>
              <w:sz w:val="22"/>
              <w:szCs w:val="22"/>
              <w:lang w:eastAsia="pl-PL"/>
            </w:rPr>
          </w:pPr>
          <w:hyperlink w:anchor="_Toc129602573" w:history="1">
            <w:r w:rsidR="000B4283" w:rsidRPr="00085CD3">
              <w:rPr>
                <w:rStyle w:val="Hipercze"/>
                <w:b/>
                <w:noProof/>
                <w:lang w:eastAsia="en-US"/>
              </w:rPr>
              <w:t>2.2.17 Działanie 6.1 Zrównoważony rozwój miejskich obszarów funkcjonalnych</w:t>
            </w:r>
            <w:r w:rsidR="000B4283">
              <w:rPr>
                <w:noProof/>
                <w:webHidden/>
              </w:rPr>
              <w:tab/>
            </w:r>
            <w:r w:rsidR="000B4283">
              <w:rPr>
                <w:noProof/>
                <w:webHidden/>
              </w:rPr>
              <w:fldChar w:fldCharType="begin"/>
            </w:r>
            <w:r w:rsidR="000B4283">
              <w:rPr>
                <w:noProof/>
                <w:webHidden/>
              </w:rPr>
              <w:instrText xml:space="preserve"> PAGEREF _Toc129602573 \h </w:instrText>
            </w:r>
            <w:r w:rsidR="000B4283">
              <w:rPr>
                <w:noProof/>
                <w:webHidden/>
              </w:rPr>
            </w:r>
            <w:r w:rsidR="000B4283">
              <w:rPr>
                <w:noProof/>
                <w:webHidden/>
              </w:rPr>
              <w:fldChar w:fldCharType="separate"/>
            </w:r>
            <w:r w:rsidR="00CF0516">
              <w:rPr>
                <w:noProof/>
                <w:webHidden/>
              </w:rPr>
              <w:t>21</w:t>
            </w:r>
            <w:r w:rsidR="000B4283">
              <w:rPr>
                <w:noProof/>
                <w:webHidden/>
              </w:rPr>
              <w:fldChar w:fldCharType="end"/>
            </w:r>
          </w:hyperlink>
        </w:p>
        <w:p w14:paraId="76CA312F" w14:textId="6AA78D47" w:rsidR="000B4283" w:rsidRDefault="00367CD9">
          <w:pPr>
            <w:pStyle w:val="Spistreci3"/>
            <w:rPr>
              <w:rFonts w:asciiTheme="minorHAnsi" w:eastAsiaTheme="minorEastAsia" w:hAnsiTheme="minorHAnsi" w:cstheme="minorBidi"/>
              <w:noProof/>
              <w:sz w:val="22"/>
              <w:szCs w:val="22"/>
              <w:lang w:eastAsia="pl-PL"/>
            </w:rPr>
          </w:pPr>
          <w:hyperlink w:anchor="_Toc129602574" w:history="1">
            <w:r w:rsidR="000B4283" w:rsidRPr="00085CD3">
              <w:rPr>
                <w:rStyle w:val="Hipercze"/>
                <w:b/>
                <w:noProof/>
                <w:lang w:eastAsia="en-US"/>
              </w:rPr>
              <w:t>2.2.18 Działanie 6.2 Zrównoważony rozwój obszarów wiejskich i małych miast</w:t>
            </w:r>
            <w:r w:rsidR="000B4283">
              <w:rPr>
                <w:noProof/>
                <w:webHidden/>
              </w:rPr>
              <w:tab/>
            </w:r>
            <w:r w:rsidR="000B4283">
              <w:rPr>
                <w:noProof/>
                <w:webHidden/>
              </w:rPr>
              <w:fldChar w:fldCharType="begin"/>
            </w:r>
            <w:r w:rsidR="000B4283">
              <w:rPr>
                <w:noProof/>
                <w:webHidden/>
              </w:rPr>
              <w:instrText xml:space="preserve"> PAGEREF _Toc129602574 \h </w:instrText>
            </w:r>
            <w:r w:rsidR="000B4283">
              <w:rPr>
                <w:noProof/>
                <w:webHidden/>
              </w:rPr>
            </w:r>
            <w:r w:rsidR="000B4283">
              <w:rPr>
                <w:noProof/>
                <w:webHidden/>
              </w:rPr>
              <w:fldChar w:fldCharType="separate"/>
            </w:r>
            <w:r w:rsidR="00CF0516">
              <w:rPr>
                <w:noProof/>
                <w:webHidden/>
              </w:rPr>
              <w:t>21</w:t>
            </w:r>
            <w:r w:rsidR="000B4283">
              <w:rPr>
                <w:noProof/>
                <w:webHidden/>
              </w:rPr>
              <w:fldChar w:fldCharType="end"/>
            </w:r>
          </w:hyperlink>
        </w:p>
        <w:p w14:paraId="251F61FC" w14:textId="629CCE93" w:rsidR="00EA7C5E" w:rsidRDefault="00EA7C5E" w:rsidP="00030580">
          <w:pPr>
            <w:spacing w:line="276" w:lineRule="auto"/>
          </w:pPr>
          <w:r>
            <w:rPr>
              <w:b/>
              <w:bCs/>
            </w:rPr>
            <w:fldChar w:fldCharType="end"/>
          </w:r>
        </w:p>
      </w:sdtContent>
    </w:sdt>
    <w:p w14:paraId="01DBE7A5" w14:textId="77777777" w:rsidR="003C42D7" w:rsidRDefault="003C42D7">
      <w:pPr>
        <w:suppressAutoHyphens w:val="0"/>
        <w:spacing w:line="240" w:lineRule="auto"/>
        <w:jc w:val="left"/>
        <w:rPr>
          <w:rFonts w:ascii="Arial" w:eastAsia="MS Mincho" w:hAnsi="Arial" w:cs="Arial"/>
          <w:color w:val="0070C0"/>
          <w:szCs w:val="20"/>
        </w:rPr>
      </w:pPr>
      <w:r>
        <w:rPr>
          <w:b/>
          <w:color w:val="0070C0"/>
        </w:rPr>
        <w:br w:type="page"/>
      </w:r>
    </w:p>
    <w:p w14:paraId="324F943A" w14:textId="229FE59C" w:rsidR="007F56E2" w:rsidRPr="00181A6A" w:rsidRDefault="007F56E2" w:rsidP="00030580">
      <w:pPr>
        <w:pStyle w:val="Nagwek1"/>
        <w:spacing w:before="0" w:after="240" w:line="276" w:lineRule="auto"/>
        <w:jc w:val="left"/>
        <w:rPr>
          <w:b w:val="0"/>
          <w:color w:val="0070C0"/>
        </w:rPr>
      </w:pPr>
      <w:bookmarkStart w:id="2" w:name="_Toc129602547"/>
      <w:r w:rsidRPr="00D3206F">
        <w:rPr>
          <w:b w:val="0"/>
          <w:color w:val="0070C0"/>
        </w:rPr>
        <w:lastRenderedPageBreak/>
        <w:t xml:space="preserve">1. </w:t>
      </w:r>
      <w:r w:rsidR="00E7250B">
        <w:rPr>
          <w:b w:val="0"/>
          <w:color w:val="0070C0"/>
        </w:rPr>
        <w:t xml:space="preserve">Katalogi wydatków w ramach Priorytetu 1 </w:t>
      </w:r>
      <w:r w:rsidR="00E7250B" w:rsidRPr="00242417">
        <w:rPr>
          <w:b w:val="0"/>
          <w:color w:val="0070C0"/>
        </w:rPr>
        <w:t>FEP 2021-2027</w:t>
      </w:r>
      <w:bookmarkEnd w:id="2"/>
    </w:p>
    <w:p w14:paraId="31F634E9" w14:textId="0958373C" w:rsidR="007F56E2" w:rsidRPr="00EA7C5E" w:rsidRDefault="007F56E2" w:rsidP="00030580">
      <w:pPr>
        <w:pStyle w:val="Nagwek2"/>
        <w:numPr>
          <w:ilvl w:val="0"/>
          <w:numId w:val="0"/>
        </w:numPr>
        <w:spacing w:before="0" w:after="240" w:line="276" w:lineRule="auto"/>
        <w:ind w:left="360" w:hanging="360"/>
        <w:jc w:val="left"/>
        <w:rPr>
          <w:color w:val="7030A0"/>
        </w:rPr>
      </w:pPr>
      <w:bookmarkStart w:id="3" w:name="_Toc129602548"/>
      <w:r w:rsidRPr="00EA7C5E">
        <w:rPr>
          <w:color w:val="7030A0"/>
        </w:rPr>
        <w:t xml:space="preserve">1.1 </w:t>
      </w:r>
      <w:r w:rsidR="00242417">
        <w:rPr>
          <w:color w:val="7030A0"/>
        </w:rPr>
        <w:t xml:space="preserve">Działanie 1.1 </w:t>
      </w:r>
      <w:r w:rsidRPr="00EA7C5E">
        <w:rPr>
          <w:color w:val="7030A0"/>
        </w:rPr>
        <w:t>Badania i rozwój</w:t>
      </w:r>
      <w:bookmarkEnd w:id="3"/>
    </w:p>
    <w:p w14:paraId="73D99C46" w14:textId="72503E1D" w:rsidR="00682967" w:rsidRPr="00F83561" w:rsidRDefault="003C530A" w:rsidP="00030580">
      <w:pPr>
        <w:pStyle w:val="Nagwek3"/>
        <w:spacing w:before="0" w:after="240" w:line="276" w:lineRule="auto"/>
        <w:jc w:val="left"/>
        <w:rPr>
          <w:rFonts w:cs="Arial"/>
          <w:b/>
          <w:color w:val="0070C0"/>
        </w:rPr>
      </w:pPr>
      <w:bookmarkStart w:id="4" w:name="_Toc129602549"/>
      <w:bookmarkStart w:id="5" w:name="_Hlk126670515"/>
      <w:r>
        <w:rPr>
          <w:rFonts w:cs="Arial"/>
          <w:b/>
          <w:color w:val="0070C0"/>
        </w:rPr>
        <w:t xml:space="preserve">1.1.1 </w:t>
      </w:r>
      <w:r w:rsidR="00C8482E" w:rsidRPr="00F83561">
        <w:rPr>
          <w:rFonts w:cs="Arial"/>
          <w:b/>
          <w:color w:val="0070C0"/>
        </w:rPr>
        <w:t>WS</w:t>
      </w:r>
      <w:r w:rsidR="003C42D7" w:rsidRPr="00F83561">
        <w:rPr>
          <w:rFonts w:cs="Arial"/>
          <w:b/>
          <w:color w:val="0070C0"/>
        </w:rPr>
        <w:t>P</w:t>
      </w:r>
      <w:r w:rsidR="00C8482E" w:rsidRPr="00F83561">
        <w:rPr>
          <w:rFonts w:cs="Arial"/>
          <w:b/>
          <w:color w:val="0070C0"/>
        </w:rPr>
        <w:t>ARCIE DZIAŁALNOŚCI BADAWCZO-ROZWOJOWEJ</w:t>
      </w:r>
      <w:bookmarkEnd w:id="4"/>
    </w:p>
    <w:bookmarkEnd w:id="5"/>
    <w:p w14:paraId="7E9B37DD" w14:textId="2B37DA99" w:rsid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Moduł: Prace B+R</w:t>
      </w:r>
    </w:p>
    <w:p w14:paraId="14EA4312"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23BB092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bCs/>
          <w:lang w:eastAsia="en-US"/>
        </w:rPr>
      </w:pPr>
      <w:bookmarkStart w:id="6" w:name="_Hlk127793804"/>
      <w:r w:rsidRPr="004C4701">
        <w:rPr>
          <w:rFonts w:ascii="Arial" w:eastAsiaTheme="minorHAnsi" w:hAnsi="Arial" w:cs="Arial"/>
          <w:bCs/>
          <w:lang w:eastAsia="en-US"/>
        </w:rPr>
        <w:t xml:space="preserve">koszty związane z wynagrodzeniem osób prowadzących badania (przemysłowe lub eksperymentalne prace rozwojowe w projekcie </w:t>
      </w:r>
      <w:bookmarkEnd w:id="6"/>
      <w:r w:rsidRPr="004C4701">
        <w:rPr>
          <w:rFonts w:ascii="Arial" w:eastAsiaTheme="minorHAnsi" w:hAnsi="Arial" w:cs="Arial"/>
          <w:bCs/>
          <w:lang w:eastAsia="en-US"/>
        </w:rPr>
        <w:t xml:space="preserve">(tj. pracowników badawczych, pracowników technicznych) zatrudnionych w ramach umowy o pracę. </w:t>
      </w:r>
    </w:p>
    <w:p w14:paraId="595AFE59" w14:textId="20FAD6F9" w:rsidR="004C4701" w:rsidRPr="004C4701" w:rsidRDefault="004C4701" w:rsidP="00030580">
      <w:pPr>
        <w:pStyle w:val="Akapitzlist"/>
        <w:suppressAutoHyphens w:val="0"/>
        <w:spacing w:before="60" w:after="60" w:line="276" w:lineRule="auto"/>
        <w:ind w:left="426"/>
        <w:jc w:val="left"/>
        <w:rPr>
          <w:rFonts w:ascii="Arial" w:eastAsiaTheme="minorHAnsi" w:hAnsi="Arial" w:cs="Arial"/>
          <w:b/>
          <w:bCs/>
          <w:lang w:eastAsia="en-US"/>
        </w:rPr>
      </w:pPr>
      <w:r w:rsidRPr="004C4701">
        <w:rPr>
          <w:rFonts w:ascii="Arial" w:eastAsiaTheme="minorHAnsi" w:hAnsi="Arial" w:cs="Arial"/>
          <w:b/>
          <w:bCs/>
          <w:lang w:eastAsia="en-US"/>
        </w:rPr>
        <w:t>Koszty wynagrodzeń pracowników mogą być rozliczane za</w:t>
      </w:r>
      <w:r w:rsidR="00030580">
        <w:rPr>
          <w:rFonts w:ascii="Arial" w:eastAsiaTheme="minorHAnsi" w:hAnsi="Arial" w:cs="Arial"/>
          <w:b/>
          <w:bCs/>
          <w:lang w:eastAsia="en-US"/>
        </w:rPr>
        <w:t xml:space="preserve"> pomocą</w:t>
      </w:r>
      <w:r w:rsidRPr="004C4701">
        <w:rPr>
          <w:rFonts w:ascii="Arial" w:eastAsiaTheme="minorHAnsi" w:hAnsi="Arial" w:cs="Arial"/>
          <w:b/>
          <w:bCs/>
          <w:lang w:eastAsia="en-US"/>
        </w:rPr>
        <w:t xml:space="preserve"> metod uproszczonych, tj.</w:t>
      </w:r>
    </w:p>
    <w:p w14:paraId="12DC8CBA" w14:textId="62C70F86" w:rsidR="004C4701" w:rsidRPr="004C4701"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b/>
          <w:bCs/>
          <w:lang w:eastAsia="en-US"/>
        </w:rPr>
      </w:pPr>
      <w:r w:rsidRPr="004C4701">
        <w:rPr>
          <w:rFonts w:ascii="Arial" w:eastAsiaTheme="minorHAnsi" w:hAnsi="Arial" w:cs="Arial"/>
          <w:b/>
          <w:bCs/>
          <w:lang w:eastAsia="en-US"/>
        </w:rPr>
        <w:t>za pomocą stawek godzinowych</w:t>
      </w:r>
      <w:r w:rsidRPr="004C4701">
        <w:rPr>
          <w:rFonts w:ascii="Arial" w:eastAsiaTheme="minorHAnsi" w:hAnsi="Arial" w:cs="Arial"/>
          <w:lang w:eastAsia="en-US"/>
        </w:rPr>
        <w:t>, zgodnie z następującymi zasadami:</w:t>
      </w:r>
    </w:p>
    <w:p w14:paraId="320F80BB" w14:textId="23445209" w:rsidR="004C4701" w:rsidRPr="004C4701" w:rsidRDefault="004C4701" w:rsidP="00030580">
      <w:pPr>
        <w:pStyle w:val="Default"/>
        <w:spacing w:before="60" w:after="60" w:line="276" w:lineRule="auto"/>
        <w:ind w:left="426"/>
        <w:rPr>
          <w:rFonts w:ascii="Arial" w:hAnsi="Arial" w:cs="Arial"/>
          <w:lang w:eastAsia="zh-TW"/>
        </w:rPr>
      </w:pPr>
      <w:r w:rsidRPr="004C4701">
        <w:rPr>
          <w:rFonts w:ascii="Arial" w:eastAsiaTheme="minorHAnsi" w:hAnsi="Arial" w:cs="Arial"/>
          <w:lang w:eastAsia="en-US"/>
        </w:rPr>
        <w:t xml:space="preserve">Beneficjent ma możliwość zastosowania stawek jednostkowych do rozliczenia wynagrodzenia pracowników zatrudnionych przy realizacji projektu. Stawki jednostkowe (zgodnie z art. 55 ust. 2 lit. a rozporządzenia 2021/1060), to godzinowe stawki wynagrodzenia personelu projektu z wyłączeniem osób wskazanych w kosztach pośrednich liczone </w:t>
      </w:r>
      <w:r w:rsidRPr="004C4701">
        <w:rPr>
          <w:rFonts w:ascii="Arial" w:hAnsi="Arial" w:cs="Arial"/>
          <w:lang w:eastAsia="zh-TW"/>
        </w:rPr>
        <w:t>przez podzielenie najbardziej aktualnych udokumentowanych rocznych kosztów zatrudnienia brutto przez 1720 godzin w przypadku osób pracujących w pełnym wymiarze czasu pracy lub przez odpowiedni proporcjonalny odsetek 1720 godzin w przypadku osób pracujących w niepełnym wymiarze czasu pracy.</w:t>
      </w:r>
    </w:p>
    <w:p w14:paraId="17CA5283"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ramach tej kategorii kwalifikowalne są koszty wynagrodzeń, w tym składki na ubezpieczenia społeczne, zdrowotne i składki na FP i FGŚP osób zatrudnionych w zakresie, w jakim wykonują oni czynności związane bezpośrednio z realizacją projektu, rozliczane na podstawie godzinowej stawki wynagrodzenia. Godzinowa stawka wynagrodzenia powinna zostać obliczona przez beneficjenta na podstawie poniższego wzoru:</w:t>
      </w:r>
    </w:p>
    <w:p w14:paraId="47CC377E" w14:textId="77777777" w:rsidR="004C4701" w:rsidRPr="004C4701" w:rsidRDefault="004C4701" w:rsidP="00030580">
      <w:pPr>
        <w:suppressAutoHyphens w:val="0"/>
        <w:spacing w:before="60" w:after="60" w:line="276" w:lineRule="auto"/>
        <w:jc w:val="left"/>
        <w:rPr>
          <w:rFonts w:ascii="Arial" w:eastAsiaTheme="minorEastAsia" w:hAnsi="Arial" w:cs="Arial"/>
          <w:b/>
          <w:bCs/>
          <w:lang w:eastAsia="en-US"/>
        </w:rPr>
      </w:pPr>
      <m:oMathPara>
        <m:oMath>
          <m:r>
            <m:rPr>
              <m:sty m:val="bi"/>
            </m:rPr>
            <w:rPr>
              <w:rFonts w:ascii="Cambria Math" w:eastAsiaTheme="minorHAnsi" w:hAnsi="Cambria Math" w:cs="Arial"/>
              <w:lang w:eastAsia="en-US"/>
            </w:rPr>
            <m:t>GSW=</m:t>
          </m:r>
          <m:f>
            <m:fPr>
              <m:ctrlPr>
                <w:rPr>
                  <w:rFonts w:ascii="Cambria Math" w:eastAsiaTheme="minorHAnsi" w:hAnsi="Cambria Math" w:cs="Arial"/>
                  <w:b/>
                  <w:bCs/>
                  <w:i/>
                  <w:lang w:eastAsia="en-US"/>
                </w:rPr>
              </m:ctrlPr>
            </m:fPr>
            <m:num>
              <m:r>
                <m:rPr>
                  <m:sty m:val="bi"/>
                </m:rPr>
                <w:rPr>
                  <w:rFonts w:ascii="Cambria Math" w:eastAsiaTheme="minorHAnsi" w:hAnsi="Cambria Math" w:cs="Arial"/>
                  <w:lang w:eastAsia="en-US"/>
                </w:rPr>
                <m:t>W</m:t>
              </m:r>
            </m:num>
            <m:den>
              <m:r>
                <m:rPr>
                  <m:sty m:val="bi"/>
                </m:rPr>
                <w:rPr>
                  <w:rFonts w:ascii="Cambria Math" w:eastAsiaTheme="minorHAnsi" w:hAnsi="Cambria Math" w:cs="Arial"/>
                  <w:lang w:eastAsia="en-US"/>
                </w:rPr>
                <m:t>1720</m:t>
              </m:r>
            </m:den>
          </m:f>
        </m:oMath>
      </m:oMathPara>
    </w:p>
    <w:p w14:paraId="0079B6B1"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gdzie:</w:t>
      </w:r>
    </w:p>
    <w:p w14:paraId="58625694"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GSW – godzinowa stawka wynagrodzenia;</w:t>
      </w:r>
    </w:p>
    <w:p w14:paraId="4FA04109"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W – roczne koszty zatrudnienia brutto pracodawcy;</w:t>
      </w:r>
    </w:p>
    <w:p w14:paraId="51EBD055" w14:textId="77777777" w:rsidR="004C4701" w:rsidRPr="004C4701" w:rsidRDefault="004C4701" w:rsidP="00030580">
      <w:pPr>
        <w:suppressAutoHyphens w:val="0"/>
        <w:spacing w:before="60" w:after="60" w:line="276" w:lineRule="auto"/>
        <w:ind w:left="567"/>
        <w:jc w:val="left"/>
        <w:rPr>
          <w:rFonts w:ascii="Arial" w:eastAsiaTheme="minorHAnsi" w:hAnsi="Arial" w:cs="Arial"/>
          <w:lang w:eastAsia="en-US"/>
        </w:rPr>
      </w:pPr>
      <w:r w:rsidRPr="004C4701">
        <w:rPr>
          <w:rFonts w:ascii="Arial" w:eastAsiaTheme="minorHAnsi" w:hAnsi="Arial" w:cs="Arial"/>
          <w:lang w:eastAsia="en-US"/>
        </w:rPr>
        <w:t>1720 – standardowa roczna liczba efektywnych godzin pracy (roczna liczba godzin pracy pomniejszona o godziny pracy przypadające na urlop wypoczynkowy).</w:t>
      </w:r>
    </w:p>
    <w:p w14:paraId="5EA43374"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 xml:space="preserve">Jako roczne koszty zatrudnienia brutto (W) należy przyjąć ostatnie roczne udokumentowane koszty (brutto pracodawcy) zatrudnienia pracownika. W przypadku osób nowozatrudnionych należy przyjąć uśrednione ostatnie roczne udokumentowane koszty zatrudnienia brutto pracowników beneficjenta na takim </w:t>
      </w:r>
      <w:r w:rsidRPr="004C4701">
        <w:rPr>
          <w:rFonts w:ascii="Arial" w:eastAsiaTheme="minorHAnsi" w:hAnsi="Arial" w:cs="Arial"/>
          <w:lang w:eastAsia="en-US"/>
        </w:rPr>
        <w:lastRenderedPageBreak/>
        <w:t xml:space="preserve">samym lub zbliżonym stanowisku służbowym (wykonujących zadania o zbliżonym charakterze i zakresie obowiązków). </w:t>
      </w:r>
    </w:p>
    <w:p w14:paraId="5C56DC87"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Wyliczenie rocznych kosztów zatrudnienia brutto (W):</w:t>
      </w:r>
    </w:p>
    <w:p w14:paraId="0B571CC2"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dokonane w oparciu o dane za ostatni rok kalendarzowy poprzedzający rok złożenia wniosku o dofinansowanie,</w:t>
      </w:r>
    </w:p>
    <w:p w14:paraId="27F6FFAA"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nie można zawierać niekwalifikowalnych składników wynagrodzeń,</w:t>
      </w:r>
    </w:p>
    <w:p w14:paraId="49BAF7A5"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zatwierdzone przez głównego księgowego jednostki.</w:t>
      </w:r>
    </w:p>
    <w:p w14:paraId="24BB5B72"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Na etapie wyboru projektu sprawdzeniu będzie podlegać prawidłowość wyliczenia godzinowej stawki wynagrodzenia. Na etapie weryfikacji wniosku o płatność sprawdzeniu będą podlegać dokumenty potwierdzające liczbę faktycznie przepracowanych przez pracownika godzin pracy na rzecz projektu.</w:t>
      </w:r>
    </w:p>
    <w:p w14:paraId="42AFEA79"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Maksymalne kwalifikowalne koszty wynagrodzenia = GSW (godzinowa stawka wynagrodzenia pracownika) × liczba godzin przepracowanych na rzecz projektu.</w:t>
      </w:r>
    </w:p>
    <w:p w14:paraId="71C2F76D"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Ponieważ standardowa roczna liczba efektywnych godzin pracy (1720) została pomniejszona o godziny pracy przypadające na urlop wypoczynkowy, rozliczanie kosztów wynagrodzeń następuje według ustalonej stawki godzinowej, w zależności od faktycznie przepracowanych godzin w projekcie,</w:t>
      </w:r>
    </w:p>
    <w:p w14:paraId="5720456A" w14:textId="0D343127" w:rsidR="004C4701" w:rsidRPr="004C4701" w:rsidRDefault="004C4701" w:rsidP="009E1F02">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b/>
          <w:bCs/>
          <w:lang w:eastAsia="en-US"/>
        </w:rPr>
        <w:t>Uwaga</w:t>
      </w:r>
      <w:r w:rsidRPr="004C4701">
        <w:rPr>
          <w:rFonts w:ascii="Arial" w:eastAsiaTheme="minorHAnsi" w:hAnsi="Arial" w:cs="Arial"/>
          <w:lang w:eastAsia="en-US"/>
        </w:rPr>
        <w:t>: kosztem kwalifikowalnym w ramach tej kategorii może być wyłącznie wynagrodzenie kadry naukowo-badawczej</w:t>
      </w:r>
      <w:r w:rsidR="007635B5">
        <w:rPr>
          <w:rFonts w:ascii="Arial" w:eastAsiaTheme="minorHAnsi" w:hAnsi="Arial" w:cs="Arial"/>
          <w:lang w:eastAsia="en-US"/>
        </w:rPr>
        <w:t>.</w:t>
      </w:r>
      <w:r w:rsidRPr="004C4701">
        <w:rPr>
          <w:rFonts w:ascii="Arial" w:eastAsiaTheme="minorHAnsi" w:hAnsi="Arial" w:cs="Arial"/>
          <w:lang w:eastAsia="en-US"/>
        </w:rPr>
        <w:t xml:space="preserve"> Pracownicy rozliczani jako kadra naukowo-badawcza</w:t>
      </w:r>
      <w:r w:rsidR="00E7278F">
        <w:rPr>
          <w:rFonts w:ascii="Arial" w:eastAsiaTheme="minorHAnsi" w:hAnsi="Arial" w:cs="Arial"/>
          <w:lang w:eastAsia="en-US"/>
        </w:rPr>
        <w:t>,</w:t>
      </w:r>
      <w:r w:rsidRPr="004C4701">
        <w:rPr>
          <w:rFonts w:ascii="Arial" w:eastAsiaTheme="minorHAnsi" w:hAnsi="Arial" w:cs="Arial"/>
          <w:lang w:eastAsia="en-US"/>
        </w:rPr>
        <w:t xml:space="preserve"> w ramach kategorii wynagrodzenia, nie mogą posiadać w zakresie obowiązków zadań dotyczących funkcji zarządczych, nadzorczych i koordynujących (np. zarządzanie, nadzór lub koordynacja prac zespołu badawczego).</w:t>
      </w:r>
      <w:r w:rsidR="001958C5">
        <w:rPr>
          <w:rFonts w:ascii="Arial" w:eastAsiaTheme="minorHAnsi" w:hAnsi="Arial" w:cs="Arial"/>
          <w:lang w:eastAsia="en-US"/>
        </w:rPr>
        <w:t xml:space="preserve"> </w:t>
      </w:r>
      <w:r w:rsidRPr="004C4701">
        <w:rPr>
          <w:rFonts w:ascii="Arial" w:eastAsiaTheme="minorHAnsi" w:hAnsi="Arial" w:cs="Arial"/>
          <w:lang w:eastAsia="en-US"/>
        </w:rPr>
        <w:t>Koszty dotyczące funkcji zarządczych, nadzorczych i koordynujących są pokrywane z ryczałtu kosztów pośrednich. Nie jest możliwe rozliczanie tego samego stanowiska pracy w ramach kosztów bezpośrednich i pośrednich równocześnie, nawet z zastosowaniem proporcjonalnego przyporządkowania zadań do obu kategorii;</w:t>
      </w:r>
    </w:p>
    <w:p w14:paraId="0C13CF39" w14:textId="27262016" w:rsidR="004C4701" w:rsidRPr="00647948"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lang w:eastAsia="en-US"/>
        </w:rPr>
      </w:pPr>
      <w:r w:rsidRPr="001958C5">
        <w:rPr>
          <w:rFonts w:ascii="Arial" w:eastAsiaTheme="minorHAnsi" w:hAnsi="Arial" w:cs="Arial"/>
          <w:b/>
          <w:bCs/>
          <w:lang w:eastAsia="en-US"/>
        </w:rPr>
        <w:t xml:space="preserve">stawką ryczałtową do 20% </w:t>
      </w:r>
      <w:r w:rsidRPr="00647948">
        <w:rPr>
          <w:rFonts w:ascii="Arial" w:eastAsiaTheme="minorHAnsi" w:hAnsi="Arial" w:cs="Arial"/>
          <w:lang w:eastAsia="en-US"/>
        </w:rPr>
        <w:t>kosztów bezpośrednich</w:t>
      </w:r>
      <w:r w:rsidRPr="001958C5">
        <w:rPr>
          <w:rFonts w:ascii="Arial" w:eastAsiaTheme="minorHAnsi" w:hAnsi="Arial" w:cs="Arial"/>
          <w:b/>
          <w:bCs/>
          <w:lang w:eastAsia="en-US"/>
        </w:rPr>
        <w:t xml:space="preserve"> </w:t>
      </w:r>
      <w:r w:rsidRPr="00647948">
        <w:rPr>
          <w:rFonts w:ascii="Arial" w:eastAsiaTheme="minorHAnsi" w:hAnsi="Arial" w:cs="Arial"/>
          <w:lang w:eastAsia="en-US"/>
        </w:rPr>
        <w:t xml:space="preserve">w module „Prace B+R” </w:t>
      </w:r>
      <w:r w:rsidR="009E1F02" w:rsidRPr="00647948">
        <w:rPr>
          <w:rFonts w:ascii="Arial" w:eastAsiaTheme="minorHAnsi" w:hAnsi="Arial" w:cs="Arial"/>
          <w:lang w:eastAsia="en-US"/>
        </w:rPr>
        <w:t xml:space="preserve">projektu </w:t>
      </w:r>
      <w:r w:rsidRPr="00647948">
        <w:rPr>
          <w:rFonts w:ascii="Arial" w:eastAsiaTheme="minorHAnsi" w:hAnsi="Arial" w:cs="Arial"/>
          <w:lang w:eastAsia="en-US"/>
        </w:rPr>
        <w:t xml:space="preserve">innych niż bezpośrednie koszty personelu, </w:t>
      </w:r>
      <w:r w:rsidR="0031710D" w:rsidRPr="00647948">
        <w:rPr>
          <w:rFonts w:ascii="Arial" w:hAnsi="Arial" w:cs="Arial"/>
          <w:color w:val="000000"/>
          <w:lang w:eastAsia="zh-TW"/>
        </w:rPr>
        <w:t>z zastrzeżeniem, że z podstawy naliczania ryczałtu wyłączone są koszty podwykonawstwa;</w:t>
      </w:r>
    </w:p>
    <w:p w14:paraId="6F017DC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(np. raty kapitałowe z tytułu leasingu finansowego/operacyjnego do wysokości wartości początkowej środka trwałego, wynajem, dzierżawa) z aparatury naukowo – badawczej oraz innego sprzętu w zakresie i przez okres, w jakim są one wykorzystywane na potrzeby realizacji prac B+R;</w:t>
      </w:r>
    </w:p>
    <w:p w14:paraId="2742D40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z nieopatentowanej wiedzy technicznej, patentów lub licencji w zakresie i przez okres, w jakim są one wykorzystywane na potrzeby prac B+R;</w:t>
      </w:r>
    </w:p>
    <w:p w14:paraId="49CC9B8F"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amortyzacji lub odpłatnego korzystania z nieruchomości w zakresie i przez okres, w jakim są one wykorzystywane na potrzeby realizacji prac B+R. W przypadku, gdy nieruchomość jest wykorzystywana również w innych celach należy uwzględnić współczynnik używania powierzchni – koszty kwalifikowalne </w:t>
      </w:r>
      <w:r w:rsidRPr="004C4701">
        <w:rPr>
          <w:rFonts w:ascii="Arial" w:eastAsiaTheme="minorHAnsi" w:hAnsi="Arial" w:cs="Arial"/>
          <w:lang w:eastAsia="en-US"/>
        </w:rPr>
        <w:lastRenderedPageBreak/>
        <w:t>odpowiadają proporcji powierzchni użytkowanej w ramach projektu do powierzchni całkowitej pomniejszonej o części wspólne. Ponadto, należy uwzględnić współczynnik zaangażowania czasowego, jeżeli ww. powierzchnia nie jest w pełni używana do prac związanych z projektem, ale jest wykorzystywana w części do celów niezwiązanych z projektem.</w:t>
      </w:r>
    </w:p>
    <w:p w14:paraId="49788B53" w14:textId="77777777" w:rsidR="004C4701" w:rsidRPr="004C4701" w:rsidRDefault="004C4701" w:rsidP="00030580">
      <w:pPr>
        <w:pStyle w:val="Akapitzlist"/>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przypadku wskazanych powyżej kosztów nieruchomości łączna kwota wydatków kwalifikowalnych w projekcie nie może przekroczyć 10% całkowitych kosztów kwalifikowalnych projektu;</w:t>
      </w:r>
    </w:p>
    <w:p w14:paraId="3085C8D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usług badawczych, </w:t>
      </w:r>
      <w:proofErr w:type="spellStart"/>
      <w:r w:rsidRPr="004C4701">
        <w:rPr>
          <w:rFonts w:ascii="Arial" w:eastAsiaTheme="minorHAnsi" w:hAnsi="Arial" w:cs="Arial"/>
          <w:lang w:eastAsia="en-US"/>
        </w:rPr>
        <w:t>eksperymentalno</w:t>
      </w:r>
      <w:proofErr w:type="spellEnd"/>
      <w:r w:rsidRPr="004C4701">
        <w:rPr>
          <w:rFonts w:ascii="Arial" w:eastAsiaTheme="minorHAnsi" w:hAnsi="Arial" w:cs="Arial"/>
          <w:lang w:eastAsia="en-US"/>
        </w:rPr>
        <w:t xml:space="preserve"> – rozwojowych;</w:t>
      </w:r>
    </w:p>
    <w:p w14:paraId="1776CA35" w14:textId="23F5D362"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związane z nabyciem materiałów wykorzystywanych do prowadzenia prac B+R</w:t>
      </w:r>
      <w:r>
        <w:rPr>
          <w:rFonts w:ascii="Arial" w:eastAsiaTheme="minorHAnsi" w:hAnsi="Arial" w:cs="Arial"/>
          <w:lang w:eastAsia="en-US"/>
        </w:rPr>
        <w:t>,</w:t>
      </w:r>
      <w:r w:rsidRPr="004C4701">
        <w:rPr>
          <w:rFonts w:ascii="Arial" w:eastAsiaTheme="minorHAnsi" w:hAnsi="Arial" w:cs="Arial"/>
          <w:lang w:eastAsia="en-US"/>
        </w:rPr>
        <w:t xml:space="preserve"> tj. na przykład: surowców, półproduktów, odczynników, itp., w tym również służących do budowy prototypu i na stałe zainstalowane w prototypie;</w:t>
      </w:r>
    </w:p>
    <w:p w14:paraId="43380E86"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hAnsi="Arial" w:cs="Arial"/>
          <w:b/>
          <w:bCs/>
        </w:rPr>
      </w:pPr>
      <w:r w:rsidRPr="004C4701">
        <w:rPr>
          <w:rFonts w:ascii="Arial" w:eastAsiaTheme="minorHAnsi" w:hAnsi="Arial" w:cs="Arial"/>
          <w:lang w:eastAsia="en-US"/>
        </w:rPr>
        <w:t>koszty związane z nabyciem drobnego sprzętu służącego do realizacji prac B+R, który nie stanowi środków trwałych zgodnie z ustawą o rachunkowości oraz z przyjętą przez beneficjenta polityką rachunkowości</w:t>
      </w:r>
      <w:bookmarkStart w:id="7" w:name="_Toc121385238"/>
      <w:r w:rsidRPr="004C4701">
        <w:rPr>
          <w:rFonts w:ascii="Arial" w:eastAsiaTheme="minorHAnsi" w:hAnsi="Arial" w:cs="Arial"/>
          <w:lang w:eastAsia="en-US"/>
        </w:rPr>
        <w:t>.</w:t>
      </w:r>
    </w:p>
    <w:p w14:paraId="5891F828"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Moduł: Infrastruktura B+R</w:t>
      </w:r>
      <w:bookmarkEnd w:id="7"/>
      <w:r w:rsidRPr="004C4701">
        <w:rPr>
          <w:rFonts w:ascii="Arial" w:hAnsi="Arial" w:cs="Arial"/>
          <w:b/>
          <w:bCs/>
          <w:szCs w:val="24"/>
        </w:rPr>
        <w:t xml:space="preserve"> </w:t>
      </w:r>
    </w:p>
    <w:p w14:paraId="72E9E953"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12A90A58" w14:textId="07D32027" w:rsidR="004C4701"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 xml:space="preserve">nabycie/wytworzenie </w:t>
      </w:r>
      <w:r w:rsidR="00B2187C">
        <w:rPr>
          <w:rFonts w:ascii="Arial" w:hAnsi="Arial" w:cs="Arial"/>
        </w:rPr>
        <w:t xml:space="preserve">nowych </w:t>
      </w:r>
      <w:r w:rsidRPr="000976CA">
        <w:rPr>
          <w:rFonts w:ascii="Arial" w:hAnsi="Arial" w:cs="Arial"/>
        </w:rPr>
        <w:t>środków trwałych, na stałe zainstalowanych w projekcie (module) i związanych z jego realizacją, pod warunkiem, że środki te będą włączone w ewidencję środków trwałych beneficjenta</w:t>
      </w:r>
      <w:r w:rsidR="00E749CE">
        <w:rPr>
          <w:rFonts w:ascii="Arial" w:hAnsi="Arial" w:cs="Arial"/>
        </w:rPr>
        <w:t>,</w:t>
      </w:r>
      <w:r w:rsidR="00962F51">
        <w:rPr>
          <w:rFonts w:ascii="Arial" w:hAnsi="Arial" w:cs="Arial"/>
        </w:rPr>
        <w:t xml:space="preserve"> za wyjątkiem:</w:t>
      </w:r>
    </w:p>
    <w:p w14:paraId="5905BF4B" w14:textId="1C3B966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(nr 0 według Klasyfikacji Środków Trwałych);</w:t>
      </w:r>
    </w:p>
    <w:p w14:paraId="4C888699" w14:textId="02F1BB1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ów</w:t>
      </w:r>
      <w:r w:rsidRPr="004C4701">
        <w:rPr>
          <w:rFonts w:ascii="Arial" w:eastAsiaTheme="minorHAnsi" w:hAnsi="Arial" w:cs="Arial"/>
          <w:lang w:eastAsia="en-US"/>
        </w:rPr>
        <w:t xml:space="preserve"> i lokal</w:t>
      </w:r>
      <w:r>
        <w:rPr>
          <w:rFonts w:ascii="Arial" w:eastAsiaTheme="minorHAnsi" w:hAnsi="Arial" w:cs="Arial"/>
          <w:lang w:eastAsia="en-US"/>
        </w:rPr>
        <w:t>i</w:t>
      </w:r>
      <w:r w:rsidRPr="004C4701">
        <w:rPr>
          <w:rFonts w:ascii="Arial" w:eastAsiaTheme="minorHAnsi" w:hAnsi="Arial" w:cs="Arial"/>
          <w:lang w:eastAsia="en-US"/>
        </w:rPr>
        <w:t>, 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do lokalu mieszkalnego oraz spółdzielcz</w:t>
      </w:r>
      <w:r w:rsidR="00E749CE">
        <w:rPr>
          <w:rFonts w:ascii="Arial" w:eastAsiaTheme="minorHAnsi" w:hAnsi="Arial" w:cs="Arial"/>
          <w:lang w:eastAsia="en-US"/>
        </w:rPr>
        <w:t>ego</w:t>
      </w:r>
      <w:r w:rsidRPr="004C4701">
        <w:rPr>
          <w:rFonts w:ascii="Arial" w:eastAsiaTheme="minorHAnsi" w:hAnsi="Arial" w:cs="Arial"/>
          <w:lang w:eastAsia="en-US"/>
        </w:rPr>
        <w:t xml:space="preserve"> praw</w:t>
      </w:r>
      <w:r w:rsidR="00E749CE">
        <w:rPr>
          <w:rFonts w:ascii="Arial" w:eastAsiaTheme="minorHAnsi" w:hAnsi="Arial" w:cs="Arial"/>
          <w:lang w:eastAsia="en-US"/>
        </w:rPr>
        <w:t>a</w:t>
      </w:r>
      <w:r w:rsidRPr="004C4701">
        <w:rPr>
          <w:rFonts w:ascii="Arial" w:eastAsiaTheme="minorHAnsi" w:hAnsi="Arial" w:cs="Arial"/>
          <w:lang w:eastAsia="en-US"/>
        </w:rPr>
        <w:t xml:space="preserve"> do lokalu niemieszkalnego (nr 1 według Klasyfikacji Środków Trwałych);</w:t>
      </w:r>
    </w:p>
    <w:p w14:paraId="2CA07A11" w14:textId="18472963"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środk</w:t>
      </w:r>
      <w:r w:rsidR="00E749CE">
        <w:rPr>
          <w:rFonts w:ascii="Arial" w:eastAsiaTheme="minorHAnsi" w:hAnsi="Arial" w:cs="Arial"/>
          <w:lang w:eastAsia="en-US"/>
        </w:rPr>
        <w:t>ów</w:t>
      </w:r>
      <w:r w:rsidRPr="004C4701">
        <w:rPr>
          <w:rFonts w:ascii="Arial" w:eastAsiaTheme="minorHAnsi" w:hAnsi="Arial" w:cs="Arial"/>
          <w:lang w:eastAsia="en-US"/>
        </w:rPr>
        <w:t xml:space="preserve"> transportu </w:t>
      </w:r>
      <w:r w:rsidR="00E749CE">
        <w:rPr>
          <w:rFonts w:ascii="Arial" w:eastAsiaTheme="minorHAnsi" w:hAnsi="Arial" w:cs="Arial"/>
          <w:lang w:eastAsia="en-US"/>
        </w:rPr>
        <w:t>innych niż z</w:t>
      </w:r>
      <w:r w:rsidRPr="004C4701">
        <w:rPr>
          <w:rFonts w:ascii="Arial" w:eastAsiaTheme="minorHAnsi" w:hAnsi="Arial" w:cs="Arial"/>
          <w:lang w:eastAsia="en-US"/>
        </w:rPr>
        <w:t xml:space="preserve"> podgrupy nr 76 i 78 Klasyfikacji Środków Trwałych);</w:t>
      </w:r>
    </w:p>
    <w:p w14:paraId="2377B9E4" w14:textId="70B9B4C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43231FE4" w14:textId="006EEE7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urządze</w:t>
      </w:r>
      <w:r w:rsidR="00E749CE">
        <w:rPr>
          <w:rFonts w:ascii="Arial" w:eastAsiaTheme="minorHAnsi" w:hAnsi="Arial" w:cs="Arial"/>
          <w:lang w:eastAsia="en-US"/>
        </w:rPr>
        <w:t xml:space="preserve">ń </w:t>
      </w:r>
      <w:r w:rsidRPr="004C4701">
        <w:rPr>
          <w:rFonts w:ascii="Arial" w:eastAsiaTheme="minorHAnsi" w:hAnsi="Arial" w:cs="Arial"/>
          <w:lang w:eastAsia="en-US"/>
        </w:rPr>
        <w:t>i narzędzi</w:t>
      </w:r>
      <w:r w:rsidR="00E749CE">
        <w:rPr>
          <w:rFonts w:ascii="Arial" w:eastAsiaTheme="minorHAnsi" w:hAnsi="Arial" w:cs="Arial"/>
          <w:lang w:eastAsia="en-US"/>
        </w:rPr>
        <w:t xml:space="preserve"> </w:t>
      </w:r>
      <w:r w:rsidRPr="004C4701">
        <w:rPr>
          <w:rFonts w:ascii="Arial" w:eastAsiaTheme="minorHAnsi" w:hAnsi="Arial" w:cs="Arial"/>
          <w:lang w:eastAsia="en-US"/>
        </w:rPr>
        <w:t>rolniczy</w:t>
      </w:r>
      <w:r w:rsidR="00E749CE">
        <w:rPr>
          <w:rFonts w:ascii="Arial" w:eastAsiaTheme="minorHAnsi" w:hAnsi="Arial" w:cs="Arial"/>
          <w:lang w:eastAsia="en-US"/>
        </w:rPr>
        <w:t>ch</w:t>
      </w:r>
      <w:r w:rsidRPr="004C4701">
        <w:rPr>
          <w:rFonts w:ascii="Arial" w:eastAsiaTheme="minorHAnsi" w:hAnsi="Arial" w:cs="Arial"/>
          <w:lang w:eastAsia="en-US"/>
        </w:rPr>
        <w:t xml:space="preserve"> i gospodarki leśnej (nr 59 według Klasyfikacji Środków Trwałych);</w:t>
      </w:r>
    </w:p>
    <w:p w14:paraId="3D06C8BF" w14:textId="0688B364" w:rsidR="00730BB9" w:rsidRPr="009A1BC3"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wyposażeni</w:t>
      </w:r>
      <w:r w:rsidR="00E749CE" w:rsidRPr="009A1BC3">
        <w:rPr>
          <w:rFonts w:ascii="Arial" w:eastAsiaTheme="minorHAnsi" w:hAnsi="Arial" w:cs="Arial"/>
          <w:lang w:eastAsia="en-US"/>
        </w:rPr>
        <w:t xml:space="preserve">a </w:t>
      </w:r>
      <w:r w:rsidRPr="000D1D1C">
        <w:rPr>
          <w:rFonts w:ascii="Arial" w:eastAsiaTheme="minorHAnsi" w:hAnsi="Arial" w:cs="Arial"/>
          <w:lang w:eastAsia="en-US"/>
        </w:rPr>
        <w:t>techniczn</w:t>
      </w:r>
      <w:r w:rsidR="00E749CE" w:rsidRPr="009A1BC3">
        <w:rPr>
          <w:rFonts w:ascii="Arial" w:eastAsiaTheme="minorHAnsi" w:hAnsi="Arial" w:cs="Arial"/>
          <w:lang w:eastAsia="en-US"/>
        </w:rPr>
        <w:t xml:space="preserve">ego </w:t>
      </w:r>
      <w:r w:rsidRPr="009A1BC3">
        <w:rPr>
          <w:rFonts w:ascii="Arial" w:eastAsiaTheme="minorHAnsi" w:hAnsi="Arial" w:cs="Arial"/>
          <w:lang w:eastAsia="en-US"/>
        </w:rPr>
        <w:t>dla prac biurowych (nr 803 według Klasyfikacji Środków Trwałych);</w:t>
      </w:r>
    </w:p>
    <w:p w14:paraId="185F6788" w14:textId="3FF2F6C3" w:rsidR="001958C5" w:rsidRPr="001958C5"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narzędzi, przyrząd</w:t>
      </w:r>
      <w:r w:rsidR="00E749CE" w:rsidRPr="009A1BC3">
        <w:rPr>
          <w:rFonts w:ascii="Arial" w:eastAsiaTheme="minorHAnsi" w:hAnsi="Arial" w:cs="Arial"/>
          <w:lang w:eastAsia="en-US"/>
        </w:rPr>
        <w:t>ów</w:t>
      </w:r>
      <w:r w:rsidRPr="009A1BC3">
        <w:rPr>
          <w:rFonts w:ascii="Arial" w:eastAsiaTheme="minorHAnsi" w:hAnsi="Arial" w:cs="Arial"/>
          <w:lang w:eastAsia="en-US"/>
        </w:rPr>
        <w:t>, ruchomości</w:t>
      </w:r>
      <w:r w:rsidR="00E749CE" w:rsidRPr="009A1BC3">
        <w:rPr>
          <w:rFonts w:ascii="Arial" w:eastAsiaTheme="minorHAnsi" w:hAnsi="Arial" w:cs="Arial"/>
          <w:lang w:eastAsia="en-US"/>
        </w:rPr>
        <w:t xml:space="preserve"> </w:t>
      </w:r>
      <w:r w:rsidRPr="009A1BC3">
        <w:rPr>
          <w:rFonts w:ascii="Arial" w:eastAsiaTheme="minorHAnsi" w:hAnsi="Arial" w:cs="Arial"/>
          <w:lang w:eastAsia="en-US"/>
        </w:rPr>
        <w:t>i wyposażeni</w:t>
      </w:r>
      <w:r w:rsidR="00E749CE" w:rsidRPr="009A1BC3">
        <w:rPr>
          <w:rFonts w:ascii="Arial" w:eastAsiaTheme="minorHAnsi" w:hAnsi="Arial" w:cs="Arial"/>
          <w:lang w:eastAsia="en-US"/>
        </w:rPr>
        <w:t>a</w:t>
      </w:r>
      <w:r w:rsidRPr="009A1BC3">
        <w:rPr>
          <w:rFonts w:ascii="Arial" w:eastAsiaTheme="minorHAnsi" w:hAnsi="Arial" w:cs="Arial"/>
          <w:lang w:eastAsia="en-US"/>
        </w:rPr>
        <w:t xml:space="preserve"> pozostał</w:t>
      </w:r>
      <w:r w:rsidR="00E749CE" w:rsidRPr="009A1BC3">
        <w:rPr>
          <w:rFonts w:ascii="Arial" w:eastAsiaTheme="minorHAnsi" w:hAnsi="Arial" w:cs="Arial"/>
          <w:lang w:eastAsia="en-US"/>
        </w:rPr>
        <w:t>ego</w:t>
      </w:r>
      <w:r w:rsidR="00BA261D">
        <w:rPr>
          <w:rFonts w:ascii="Arial" w:eastAsiaTheme="minorHAnsi" w:hAnsi="Arial" w:cs="Arial"/>
          <w:lang w:eastAsia="en-US"/>
        </w:rPr>
        <w:t xml:space="preserve"> (nr 809</w:t>
      </w:r>
      <w:r w:rsidRPr="009A1BC3">
        <w:rPr>
          <w:rFonts w:ascii="Arial" w:eastAsiaTheme="minorHAnsi" w:hAnsi="Arial" w:cs="Arial"/>
          <w:lang w:eastAsia="en-US"/>
        </w:rPr>
        <w:t xml:space="preserve"> według Klasyfikacji Środków Trwałych).</w:t>
      </w:r>
    </w:p>
    <w:p w14:paraId="3B1E951A" w14:textId="4A78D3BA" w:rsidR="00730BB9" w:rsidRPr="001958C5" w:rsidRDefault="003A6052" w:rsidP="00647948">
      <w:pPr>
        <w:tabs>
          <w:tab w:val="left" w:pos="284"/>
        </w:tabs>
        <w:suppressAutoHyphens w:val="0"/>
        <w:spacing w:before="60" w:after="60" w:line="276" w:lineRule="auto"/>
        <w:ind w:left="284"/>
        <w:jc w:val="left"/>
        <w:textAlignment w:val="auto"/>
        <w:rPr>
          <w:rFonts w:ascii="Arial" w:eastAsiaTheme="minorHAnsi" w:hAnsi="Arial" w:cs="Arial"/>
          <w:lang w:eastAsia="en-US"/>
        </w:rPr>
      </w:pPr>
      <w:r w:rsidRPr="001958C5">
        <w:rPr>
          <w:rFonts w:ascii="Arial" w:eastAsiaTheme="minorHAnsi" w:hAnsi="Arial" w:cs="Arial"/>
          <w:lang w:eastAsia="en-US"/>
        </w:rPr>
        <w:t xml:space="preserve">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w:t>
      </w:r>
      <w:r w:rsidRPr="001958C5">
        <w:rPr>
          <w:rFonts w:ascii="Arial" w:eastAsiaTheme="minorHAnsi" w:hAnsi="Arial" w:cs="Arial"/>
          <w:lang w:eastAsia="en-US"/>
        </w:rPr>
        <w:lastRenderedPageBreak/>
        <w:t>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 do dnia przyjęcia do używania;</w:t>
      </w:r>
    </w:p>
    <w:p w14:paraId="79FE88BD" w14:textId="493B7F7D" w:rsidR="004C4701" w:rsidRPr="000976CA"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nabycie wartości niematerialnych i prawnych, m.in. w formie patentów, licencji oraz praw autorskich pod warunkiem, że będą związane z realizacją projektu (modułu) oraz będą włączone w ewidencję wartości niematerialnych i prawnych beneficjenta</w:t>
      </w:r>
      <w:r w:rsidR="00647948">
        <w:rPr>
          <w:rFonts w:ascii="Arial" w:hAnsi="Arial" w:cs="Arial"/>
        </w:rPr>
        <w:t>;</w:t>
      </w:r>
    </w:p>
    <w:p w14:paraId="34D0B266" w14:textId="55B42E50" w:rsidR="004C4701" w:rsidRPr="000976CA" w:rsidRDefault="004C4701" w:rsidP="00EE5ED3">
      <w:pPr>
        <w:pStyle w:val="Akapitzlist"/>
        <w:numPr>
          <w:ilvl w:val="0"/>
          <w:numId w:val="20"/>
        </w:numPr>
        <w:suppressAutoHyphens w:val="0"/>
        <w:spacing w:before="60" w:after="60" w:line="276" w:lineRule="auto"/>
        <w:ind w:left="284" w:hanging="284"/>
        <w:jc w:val="left"/>
        <w:textAlignment w:val="auto"/>
        <w:rPr>
          <w:rFonts w:ascii="Arial" w:hAnsi="Arial" w:cs="Arial"/>
        </w:rPr>
      </w:pPr>
      <w:r w:rsidRPr="000976CA">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647948">
        <w:rPr>
          <w:rFonts w:ascii="Arial" w:hAnsi="Arial" w:cs="Arial"/>
        </w:rPr>
        <w:t>.</w:t>
      </w:r>
    </w:p>
    <w:p w14:paraId="76806F7D"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8" w:name="_Toc121385239"/>
      <w:r w:rsidRPr="004C4701">
        <w:rPr>
          <w:rFonts w:ascii="Arial" w:hAnsi="Arial" w:cs="Arial"/>
          <w:b/>
          <w:bCs/>
          <w:szCs w:val="24"/>
        </w:rPr>
        <w:t>Moduł: prace przedwdrożeniowe</w:t>
      </w:r>
      <w:bookmarkEnd w:id="8"/>
    </w:p>
    <w:p w14:paraId="3841F6C9" w14:textId="11E39A1C"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5A557E8" w14:textId="15A0225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 xml:space="preserve">Koszty uzyskania, walidacji i </w:t>
      </w:r>
      <w:r w:rsidR="009E796C">
        <w:rPr>
          <w:rFonts w:ascii="Arial" w:hAnsi="Arial" w:cs="Arial"/>
          <w:bCs/>
        </w:rPr>
        <w:t xml:space="preserve">ochrony </w:t>
      </w:r>
      <w:r w:rsidRPr="004C4701">
        <w:rPr>
          <w:rFonts w:ascii="Arial" w:hAnsi="Arial" w:cs="Arial"/>
          <w:bCs/>
        </w:rPr>
        <w:t>patentów i innych wartości niematerialnych i prawnych będących wynikiem przeprowadzonych w ramach projektu badań przemysłowych, eksperymentalnych prac rozwojowych, w tym m. in.: opłaty urzędowe związane z uzyskaniem patentu, prawa ochronnego na wzór użytkowy / przemysłowy, konieczne do poniesienia koszty zawodowego pełnomocnika w zakresie przygotowania dokumentacji zgłoszeniowej oraz reprezentację przed organem, koszty tłumaczenia – do momentu dokonania zgłoszenia do właściwego urzędu ochrony własności przemysłowej;</w:t>
      </w:r>
    </w:p>
    <w:p w14:paraId="432A45C9" w14:textId="7777777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koszty usług wsparcia innowacji w rozumieniu GBER, tj. udostępnianie przestrzeni biurowej, banków danych, zasobów bibliotecznych, badań rynku, laboratoriów, znakowanie, testowanie i certyfikację jakości w celu opracowania bardziej efektywnych produktów procesów i usług.</w:t>
      </w:r>
      <w:bookmarkStart w:id="9" w:name="_Toc121385240"/>
    </w:p>
    <w:p w14:paraId="47C3F614"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Moduł: Wdrożenie wyników prac B+R</w:t>
      </w:r>
      <w:bookmarkEnd w:id="9"/>
    </w:p>
    <w:p w14:paraId="43C430BC"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88E8379" w14:textId="626942C5" w:rsidR="004C4701" w:rsidRPr="004C4701" w:rsidRDefault="004C4701" w:rsidP="00EE5ED3">
      <w:pPr>
        <w:pStyle w:val="Akapitzlist"/>
        <w:numPr>
          <w:ilvl w:val="0"/>
          <w:numId w:val="22"/>
        </w:numPr>
        <w:suppressAutoHyphens w:val="0"/>
        <w:spacing w:before="60" w:after="60" w:line="276" w:lineRule="auto"/>
        <w:ind w:left="284" w:hanging="426"/>
        <w:jc w:val="left"/>
        <w:textAlignment w:val="auto"/>
        <w:rPr>
          <w:rFonts w:ascii="Arial" w:hAnsi="Arial" w:cs="Arial"/>
          <w:bCs/>
        </w:rPr>
      </w:pPr>
      <w:r w:rsidRPr="003C42D7">
        <w:rPr>
          <w:rFonts w:ascii="Arial" w:hAnsi="Arial" w:cs="Arial"/>
        </w:rPr>
        <w:t>nabycie</w:t>
      </w:r>
      <w:r w:rsidRPr="003C42D7">
        <w:rPr>
          <w:rFonts w:ascii="Arial" w:eastAsiaTheme="minorHAnsi" w:hAnsi="Arial" w:cs="Arial"/>
          <w:lang w:eastAsia="en-US"/>
        </w:rPr>
        <w:t xml:space="preserve"> / wytworzenie nowych środków trwałych</w:t>
      </w:r>
      <w:r w:rsidRPr="003C42D7">
        <w:rPr>
          <w:rFonts w:ascii="Arial" w:eastAsiaTheme="minorHAnsi" w:hAnsi="Arial" w:cs="Arial"/>
          <w:bCs/>
          <w:lang w:eastAsia="en-US"/>
        </w:rPr>
        <w:t xml:space="preserve"> na</w:t>
      </w:r>
      <w:r w:rsidRPr="003C42D7">
        <w:rPr>
          <w:rFonts w:ascii="Arial" w:eastAsiaTheme="minorHAnsi" w:hAnsi="Arial" w:cs="Arial"/>
          <w:lang w:eastAsia="en-US"/>
        </w:rPr>
        <w:t xml:space="preserve"> stałe zainstalowanych w projekcie i ściśle związanych z realizacją projektu (modułu</w:t>
      </w:r>
      <w:r w:rsidRPr="004C4701">
        <w:rPr>
          <w:rFonts w:ascii="Arial" w:eastAsiaTheme="minorHAnsi" w:hAnsi="Arial" w:cs="Arial"/>
          <w:lang w:eastAsia="en-US"/>
        </w:rPr>
        <w:t>) pod warunkiem, że środki te będą włączone w ewidencję środków trwałych beneficjenta</w:t>
      </w:r>
      <w:r w:rsidR="00E749CE">
        <w:rPr>
          <w:rFonts w:ascii="Arial" w:eastAsiaTheme="minorHAnsi" w:hAnsi="Arial" w:cs="Arial"/>
          <w:lang w:eastAsia="en-US"/>
        </w:rPr>
        <w:t>, za wyjątkiem:</w:t>
      </w:r>
      <w:r w:rsidRPr="004C4701">
        <w:rPr>
          <w:rFonts w:ascii="Arial" w:eastAsiaTheme="minorHAnsi" w:hAnsi="Arial" w:cs="Arial"/>
          <w:lang w:eastAsia="en-US"/>
        </w:rPr>
        <w:t xml:space="preserve"> </w:t>
      </w:r>
    </w:p>
    <w:p w14:paraId="6E56975D" w14:textId="7B33653E"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(nr 0 według Klasyfikacji Środków Trwałych);</w:t>
      </w:r>
    </w:p>
    <w:p w14:paraId="0AF9C5E5" w14:textId="60980016"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 xml:space="preserve">ów </w:t>
      </w:r>
      <w:r w:rsidR="004C4701" w:rsidRPr="004C4701">
        <w:rPr>
          <w:rFonts w:ascii="Arial" w:eastAsiaTheme="minorHAnsi" w:hAnsi="Arial" w:cs="Arial"/>
          <w:lang w:eastAsia="en-US"/>
        </w:rPr>
        <w:t xml:space="preserve">i </w:t>
      </w:r>
      <w:r w:rsidRPr="004C4701">
        <w:rPr>
          <w:rFonts w:ascii="Arial" w:eastAsiaTheme="minorHAnsi" w:hAnsi="Arial" w:cs="Arial"/>
          <w:lang w:eastAsia="en-US"/>
        </w:rPr>
        <w:t>lokal</w:t>
      </w:r>
      <w:r>
        <w:rPr>
          <w:rFonts w:ascii="Arial" w:eastAsiaTheme="minorHAnsi" w:hAnsi="Arial" w:cs="Arial"/>
          <w:lang w:eastAsia="en-US"/>
        </w:rPr>
        <w:t>i</w:t>
      </w:r>
      <w:r w:rsidR="004C4701" w:rsidRPr="004C4701">
        <w:rPr>
          <w:rFonts w:ascii="Arial" w:eastAsiaTheme="minorHAnsi" w:hAnsi="Arial" w:cs="Arial"/>
          <w:lang w:eastAsia="en-US"/>
        </w:rPr>
        <w:t xml:space="preserve">, </w:t>
      </w:r>
      <w:r w:rsidRPr="004C4701">
        <w:rPr>
          <w:rFonts w:ascii="Arial" w:eastAsiaTheme="minorHAnsi" w:hAnsi="Arial" w:cs="Arial"/>
          <w:lang w:eastAsia="en-US"/>
        </w:rPr>
        <w:t>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do lokalu mieszkalnego oraz </w:t>
      </w:r>
      <w:r w:rsidR="00C60BD5" w:rsidRPr="004C4701">
        <w:rPr>
          <w:rFonts w:ascii="Arial" w:eastAsiaTheme="minorHAnsi" w:hAnsi="Arial" w:cs="Arial"/>
          <w:lang w:eastAsia="en-US"/>
        </w:rPr>
        <w:t>spółdzielcz</w:t>
      </w:r>
      <w:r w:rsidR="00C60BD5">
        <w:rPr>
          <w:rFonts w:ascii="Arial" w:eastAsiaTheme="minorHAnsi" w:hAnsi="Arial" w:cs="Arial"/>
          <w:lang w:eastAsia="en-US"/>
        </w:rPr>
        <w:t>ego</w:t>
      </w:r>
      <w:r w:rsidR="00C60BD5" w:rsidRPr="004C4701">
        <w:rPr>
          <w:rFonts w:ascii="Arial" w:eastAsiaTheme="minorHAnsi" w:hAnsi="Arial" w:cs="Arial"/>
          <w:lang w:eastAsia="en-US"/>
        </w:rPr>
        <w:t xml:space="preserve"> praw</w:t>
      </w:r>
      <w:r w:rsidR="00C60BD5">
        <w:rPr>
          <w:rFonts w:ascii="Arial" w:eastAsiaTheme="minorHAnsi" w:hAnsi="Arial" w:cs="Arial"/>
          <w:lang w:eastAsia="en-US"/>
        </w:rPr>
        <w:t xml:space="preserve">a </w:t>
      </w:r>
      <w:r w:rsidR="004C4701" w:rsidRPr="004C4701">
        <w:rPr>
          <w:rFonts w:ascii="Arial" w:eastAsiaTheme="minorHAnsi" w:hAnsi="Arial" w:cs="Arial"/>
          <w:lang w:eastAsia="en-US"/>
        </w:rPr>
        <w:t>do lokalu niemieszkalnego (nr 1 według Klasyfikacji Środków Trwałych);</w:t>
      </w:r>
    </w:p>
    <w:p w14:paraId="2B29A674" w14:textId="452BFB93" w:rsidR="004C4701" w:rsidRPr="004C4701" w:rsidRDefault="00C60BD5"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lastRenderedPageBreak/>
        <w:t>środk</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transportu </w:t>
      </w:r>
      <w:r>
        <w:rPr>
          <w:rFonts w:ascii="Arial" w:eastAsiaTheme="minorHAnsi" w:hAnsi="Arial" w:cs="Arial"/>
          <w:lang w:eastAsia="en-US"/>
        </w:rPr>
        <w:t>innych niż z</w:t>
      </w:r>
      <w:r w:rsidR="004C4701" w:rsidRPr="004C4701">
        <w:rPr>
          <w:rFonts w:ascii="Arial" w:eastAsiaTheme="minorHAnsi" w:hAnsi="Arial" w:cs="Arial"/>
          <w:lang w:eastAsia="en-US"/>
        </w:rPr>
        <w:t xml:space="preserve"> podgrupy nr 76 i 78 Klasyfikacji Środków Trwałych;</w:t>
      </w:r>
    </w:p>
    <w:p w14:paraId="77E375D2" w14:textId="383FD848"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6C2BF6A4" w14:textId="04590BE4"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 xml:space="preserve">maszyn, </w:t>
      </w:r>
      <w:r w:rsidR="007D5483" w:rsidRPr="004C4701">
        <w:rPr>
          <w:rFonts w:ascii="Arial" w:eastAsiaTheme="minorHAnsi" w:hAnsi="Arial" w:cs="Arial"/>
          <w:lang w:eastAsia="en-US"/>
        </w:rPr>
        <w:t>urządze</w:t>
      </w:r>
      <w:r w:rsidR="007D5483">
        <w:rPr>
          <w:rFonts w:ascii="Arial" w:eastAsiaTheme="minorHAnsi" w:hAnsi="Arial" w:cs="Arial"/>
          <w:lang w:eastAsia="en-US"/>
        </w:rPr>
        <w:t>ń</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 xml:space="preserve">i narzędzi </w:t>
      </w:r>
      <w:r w:rsidR="007D5483" w:rsidRPr="004C4701">
        <w:rPr>
          <w:rFonts w:ascii="Arial" w:eastAsiaTheme="minorHAnsi" w:hAnsi="Arial" w:cs="Arial"/>
          <w:lang w:eastAsia="en-US"/>
        </w:rPr>
        <w:t>rolniczy</w:t>
      </w:r>
      <w:r w:rsidR="007D5483">
        <w:rPr>
          <w:rFonts w:ascii="Arial" w:eastAsiaTheme="minorHAnsi" w:hAnsi="Arial" w:cs="Arial"/>
          <w:lang w:eastAsia="en-US"/>
        </w:rPr>
        <w:t>ch</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i gospodarki leśnej (nr 59 według Klasyfikacji Środków Trwałych);</w:t>
      </w:r>
    </w:p>
    <w:p w14:paraId="781E9EE7" w14:textId="50ED3775" w:rsidR="004C4701" w:rsidRPr="00981E6F" w:rsidRDefault="007D5483"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wyposażenia technicznego </w:t>
      </w:r>
      <w:r w:rsidR="004C4701" w:rsidRPr="00981E6F">
        <w:rPr>
          <w:rFonts w:ascii="Arial" w:eastAsiaTheme="minorHAnsi" w:hAnsi="Arial" w:cs="Arial"/>
          <w:lang w:eastAsia="en-US"/>
        </w:rPr>
        <w:t>dla prac biurowych (nr 803 według Klasyfikacji Środków Trwałych);</w:t>
      </w:r>
    </w:p>
    <w:p w14:paraId="49C2ED31" w14:textId="758D9671" w:rsidR="004C4701" w:rsidRPr="00981E6F"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narzędzi, </w:t>
      </w:r>
      <w:r w:rsidR="007D5483" w:rsidRPr="00981E6F">
        <w:rPr>
          <w:rFonts w:ascii="Arial" w:eastAsiaTheme="minorHAnsi" w:hAnsi="Arial" w:cs="Arial"/>
          <w:lang w:eastAsia="en-US"/>
        </w:rPr>
        <w:t>przyrządów</w:t>
      </w:r>
      <w:r w:rsidRPr="00981E6F">
        <w:rPr>
          <w:rFonts w:ascii="Arial" w:eastAsiaTheme="minorHAnsi" w:hAnsi="Arial" w:cs="Arial"/>
          <w:lang w:eastAsia="en-US"/>
        </w:rPr>
        <w:t xml:space="preserve">, ruchomości i </w:t>
      </w:r>
      <w:r w:rsidR="007D5483" w:rsidRPr="00981E6F">
        <w:rPr>
          <w:rFonts w:ascii="Arial" w:eastAsiaTheme="minorHAnsi" w:hAnsi="Arial" w:cs="Arial"/>
          <w:lang w:eastAsia="en-US"/>
        </w:rPr>
        <w:t xml:space="preserve">wyposażenia pozostałego </w:t>
      </w:r>
      <w:r w:rsidR="00966F00">
        <w:rPr>
          <w:rFonts w:ascii="Arial" w:eastAsiaTheme="minorHAnsi" w:hAnsi="Arial" w:cs="Arial"/>
          <w:lang w:eastAsia="en-US"/>
        </w:rPr>
        <w:t>(nr 809</w:t>
      </w:r>
      <w:r w:rsidRPr="00981E6F">
        <w:rPr>
          <w:rFonts w:ascii="Arial" w:eastAsiaTheme="minorHAnsi" w:hAnsi="Arial" w:cs="Arial"/>
          <w:lang w:eastAsia="en-US"/>
        </w:rPr>
        <w:t xml:space="preserve"> według Klasyfikacji Środków Trwałych).</w:t>
      </w:r>
    </w:p>
    <w:p w14:paraId="56125295" w14:textId="605392F0" w:rsidR="004C4701" w:rsidRPr="004C4701" w:rsidRDefault="004C4701" w:rsidP="00647948">
      <w:pPr>
        <w:suppressAutoHyphens w:val="0"/>
        <w:spacing w:before="60" w:after="60" w:line="276" w:lineRule="auto"/>
        <w:ind w:left="284"/>
        <w:jc w:val="left"/>
        <w:rPr>
          <w:rFonts w:ascii="Arial" w:eastAsiaTheme="minorHAnsi" w:hAnsi="Arial" w:cs="Arial"/>
          <w:lang w:eastAsia="en-US"/>
        </w:rPr>
      </w:pPr>
      <w:r w:rsidRPr="004C4701">
        <w:rPr>
          <w:rFonts w:ascii="Arial" w:eastAsiaTheme="minorHAnsi" w:hAnsi="Arial" w:cs="Arial"/>
          <w:lang w:eastAsia="en-US"/>
        </w:rPr>
        <w:t>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w:t>
      </w:r>
      <w:r w:rsidR="00C73999">
        <w:rPr>
          <w:rFonts w:ascii="Arial" w:eastAsiaTheme="minorHAnsi" w:hAnsi="Arial" w:cs="Arial"/>
          <w:lang w:eastAsia="en-US"/>
        </w:rPr>
        <w:t xml:space="preserve"> </w:t>
      </w:r>
      <w:r w:rsidRPr="004C4701">
        <w:rPr>
          <w:rFonts w:ascii="Arial" w:eastAsiaTheme="minorHAnsi" w:hAnsi="Arial" w:cs="Arial"/>
          <w:lang w:eastAsia="en-US"/>
        </w:rPr>
        <w:t>do dnia przyjęcia do używania;</w:t>
      </w:r>
    </w:p>
    <w:p w14:paraId="6978F515" w14:textId="315DCBED" w:rsidR="00E93EB0" w:rsidRDefault="004C4701"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4C4701">
        <w:rPr>
          <w:rFonts w:ascii="Arial" w:eastAsiaTheme="minorHAnsi" w:hAnsi="Arial" w:cs="Arial"/>
          <w:bCs/>
          <w:lang w:eastAsia="en-US"/>
        </w:rPr>
        <w:t>nabycie wartości niematerialnych i prawnych m.in. w</w:t>
      </w:r>
      <w:r w:rsidRPr="004C4701">
        <w:rPr>
          <w:rFonts w:ascii="Arial" w:eastAsiaTheme="minorHAnsi" w:hAnsi="Arial" w:cs="Arial"/>
          <w:lang w:eastAsia="en-US"/>
        </w:rPr>
        <w:t xml:space="preserve"> formie patentów, licencji oraz praw </w:t>
      </w:r>
      <w:r w:rsidRPr="004C4701">
        <w:rPr>
          <w:rFonts w:ascii="Arial" w:hAnsi="Arial" w:cs="Arial"/>
          <w:bCs/>
        </w:rPr>
        <w:t>autorskich</w:t>
      </w:r>
      <w:r w:rsidRPr="004C4701">
        <w:rPr>
          <w:rFonts w:ascii="Arial" w:eastAsiaTheme="minorHAnsi" w:hAnsi="Arial" w:cs="Arial"/>
          <w:lang w:eastAsia="en-US"/>
        </w:rPr>
        <w:t xml:space="preserve">, pod warunkiem, że będą ściśle </w:t>
      </w:r>
      <w:r w:rsidRPr="004C4701">
        <w:rPr>
          <w:rFonts w:ascii="Arial" w:hAnsi="Arial" w:cs="Arial"/>
        </w:rPr>
        <w:t>związane z realizacją projektu (modułu) i będą włączone w ewidencję wartości niematerialnych i prawnych beneficjenta</w:t>
      </w:r>
      <w:r w:rsidR="00931114">
        <w:rPr>
          <w:rFonts w:ascii="Arial" w:eastAsiaTheme="minorHAnsi" w:hAnsi="Arial" w:cs="Arial"/>
          <w:lang w:eastAsia="en-US"/>
        </w:rPr>
        <w:t>;</w:t>
      </w:r>
    </w:p>
    <w:p w14:paraId="3B3F740E" w14:textId="1F871B33" w:rsidR="00E93EB0" w:rsidRPr="009E1F02" w:rsidRDefault="00E93EB0"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981E6F">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931114">
        <w:rPr>
          <w:rFonts w:ascii="Arial" w:hAnsi="Arial" w:cs="Arial"/>
        </w:rPr>
        <w:t>.</w:t>
      </w:r>
    </w:p>
    <w:p w14:paraId="78D0140C"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10" w:name="_Toc121385241"/>
      <w:r w:rsidRPr="004C4701">
        <w:rPr>
          <w:rFonts w:ascii="Arial" w:hAnsi="Arial" w:cs="Arial"/>
          <w:b/>
          <w:bCs/>
          <w:szCs w:val="24"/>
        </w:rPr>
        <w:t>Moduł: Doradztwo</w:t>
      </w:r>
      <w:bookmarkEnd w:id="10"/>
    </w:p>
    <w:p w14:paraId="4D65AE46" w14:textId="5884F3E3"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619E064B" w14:textId="7A1BD853" w:rsidR="004C4701" w:rsidRPr="004C4701" w:rsidRDefault="004C4701" w:rsidP="00030580">
      <w:pPr>
        <w:suppressAutoHyphens w:val="0"/>
        <w:spacing w:before="60" w:after="60" w:line="276" w:lineRule="auto"/>
        <w:jc w:val="left"/>
        <w:rPr>
          <w:rFonts w:ascii="Arial" w:hAnsi="Arial" w:cs="Arial"/>
        </w:rPr>
      </w:pPr>
      <w:r w:rsidRPr="004C4701">
        <w:rPr>
          <w:rFonts w:ascii="Arial" w:hAnsi="Arial" w:cs="Arial"/>
        </w:rPr>
        <w:t xml:space="preserve">Nabycie usług doradczych świadczonych przez doradców zewnętrznych, ściśle związanych z realizacją projektu, za </w:t>
      </w:r>
      <w:bookmarkStart w:id="11" w:name="_Toc121385242"/>
      <w:r w:rsidRPr="004C4701">
        <w:rPr>
          <w:rFonts w:ascii="Arial" w:hAnsi="Arial" w:cs="Arial"/>
        </w:rPr>
        <w:t>wyjątkiem:</w:t>
      </w:r>
    </w:p>
    <w:p w14:paraId="066467DB" w14:textId="77777777"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rPr>
      </w:pPr>
      <w:r w:rsidRPr="004C4701">
        <w:rPr>
          <w:rFonts w:ascii="Arial" w:hAnsi="Arial" w:cs="Arial"/>
        </w:rPr>
        <w:t xml:space="preserve">usług, które mają charakter ciągły lub okresowy, </w:t>
      </w:r>
    </w:p>
    <w:p w14:paraId="54F0F2A8" w14:textId="21C1CBF4"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b/>
          <w:bCs/>
        </w:rPr>
      </w:pPr>
      <w:r w:rsidRPr="004C4701">
        <w:rPr>
          <w:rFonts w:ascii="Arial" w:hAnsi="Arial" w:cs="Arial"/>
        </w:rPr>
        <w:t>usług</w:t>
      </w:r>
      <w:r>
        <w:rPr>
          <w:rFonts w:ascii="Arial" w:hAnsi="Arial" w:cs="Arial"/>
        </w:rPr>
        <w:t>,</w:t>
      </w:r>
      <w:r w:rsidRPr="004C4701">
        <w:rPr>
          <w:rFonts w:ascii="Arial" w:hAnsi="Arial" w:cs="Arial"/>
        </w:rPr>
        <w:t xml:space="preserve"> które są związane ze zwykłymi kosztami operacyjnymi przedsiębiorstwa, takimi jak rutynowe usługi doradztwa podatkowego,</w:t>
      </w:r>
      <w:r w:rsidR="00D1604F">
        <w:rPr>
          <w:rFonts w:ascii="Arial" w:hAnsi="Arial" w:cs="Arial"/>
        </w:rPr>
        <w:t xml:space="preserve"> księgowego,</w:t>
      </w:r>
      <w:r w:rsidRPr="004C4701">
        <w:rPr>
          <w:rFonts w:ascii="Arial" w:hAnsi="Arial" w:cs="Arial"/>
        </w:rPr>
        <w:t xml:space="preserve"> regularne usługi prawnicze lub reklama.</w:t>
      </w:r>
      <w:bookmarkStart w:id="12" w:name="_Toc121385243"/>
      <w:bookmarkEnd w:id="11"/>
    </w:p>
    <w:p w14:paraId="4E81E1F0" w14:textId="2FE61257" w:rsidR="001F7498" w:rsidRDefault="004C4701" w:rsidP="00C73999">
      <w:pPr>
        <w:pStyle w:val="Nagwek4"/>
        <w:numPr>
          <w:ilvl w:val="0"/>
          <w:numId w:val="0"/>
        </w:numPr>
        <w:spacing w:before="240" w:after="240" w:line="276" w:lineRule="auto"/>
        <w:jc w:val="left"/>
        <w:rPr>
          <w:rFonts w:ascii="Arial" w:hAnsi="Arial" w:cs="Arial"/>
          <w:b/>
          <w:bCs/>
          <w:szCs w:val="24"/>
        </w:rPr>
      </w:pPr>
      <w:r w:rsidRPr="001F7498">
        <w:rPr>
          <w:rFonts w:ascii="Arial" w:hAnsi="Arial" w:cs="Arial"/>
          <w:b/>
          <w:bCs/>
          <w:szCs w:val="24"/>
        </w:rPr>
        <w:lastRenderedPageBreak/>
        <w:t>Koszty pośrednie</w:t>
      </w:r>
      <w:bookmarkEnd w:id="12"/>
    </w:p>
    <w:p w14:paraId="5FF73485" w14:textId="77777777" w:rsidR="00076C11" w:rsidRPr="00076C11" w:rsidRDefault="00076C11" w:rsidP="00076C11">
      <w:pPr>
        <w:spacing w:after="240" w:line="276" w:lineRule="auto"/>
        <w:jc w:val="left"/>
        <w:textAlignment w:val="auto"/>
        <w:rPr>
          <w:rFonts w:ascii="Arial" w:hAnsi="Arial" w:cs="Arial"/>
        </w:rPr>
      </w:pPr>
      <w:r w:rsidRPr="00076C11">
        <w:rPr>
          <w:rFonts w:ascii="Arial" w:hAnsi="Arial" w:cs="Arial"/>
          <w:b/>
          <w:bCs/>
        </w:rPr>
        <w:t xml:space="preserve">W ramach projektu koszty pośrednie rozliczane są wyłącznie metodami uproszczonymi, tj.: </w:t>
      </w:r>
    </w:p>
    <w:p w14:paraId="29A6C6D5" w14:textId="1D2B30BF" w:rsidR="00076C11"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rPr>
      </w:pPr>
      <w:r w:rsidRPr="00C73999">
        <w:rPr>
          <w:rFonts w:ascii="Arial" w:hAnsi="Arial" w:cs="Arial"/>
        </w:rPr>
        <w:t xml:space="preserve">stawką ryczałtową w wysokości do 15% bezpośrednich kwalifikowanych kosztów personelu projektu </w:t>
      </w:r>
      <w:r>
        <w:rPr>
          <w:rFonts w:ascii="Arial" w:hAnsi="Arial" w:cs="Arial"/>
        </w:rPr>
        <w:t xml:space="preserve">występującego </w:t>
      </w:r>
      <w:r w:rsidRPr="00C73999">
        <w:rPr>
          <w:rFonts w:ascii="Arial" w:hAnsi="Arial" w:cs="Arial"/>
        </w:rPr>
        <w:t xml:space="preserve">w module „Prace B+R” </w:t>
      </w:r>
      <w:r>
        <w:rPr>
          <w:rFonts w:ascii="Arial" w:hAnsi="Arial" w:cs="Arial"/>
        </w:rPr>
        <w:t>(tj.</w:t>
      </w:r>
      <w:r w:rsidRPr="004C4701">
        <w:rPr>
          <w:rFonts w:ascii="Arial" w:eastAsiaTheme="minorHAnsi" w:hAnsi="Arial" w:cs="Arial"/>
          <w:bCs/>
          <w:lang w:eastAsia="en-US"/>
        </w:rPr>
        <w:t xml:space="preserve"> pracowników badawczych, pracowników technicznych)</w:t>
      </w:r>
      <w:r w:rsidRPr="00C73999">
        <w:rPr>
          <w:rFonts w:ascii="Arial" w:hAnsi="Arial" w:cs="Arial"/>
        </w:rPr>
        <w:t xml:space="preserve">, </w:t>
      </w:r>
    </w:p>
    <w:p w14:paraId="7E269E29" w14:textId="77777777" w:rsidR="00076C11" w:rsidRPr="000D1BF5" w:rsidRDefault="00076C11" w:rsidP="00076C11">
      <w:pPr>
        <w:pStyle w:val="Akapitzlist"/>
        <w:shd w:val="clear" w:color="auto" w:fill="FFFFFF" w:themeFill="background1"/>
        <w:spacing w:before="60" w:after="60" w:line="276" w:lineRule="auto"/>
        <w:ind w:left="720"/>
        <w:jc w:val="left"/>
        <w:textAlignment w:val="auto"/>
        <w:rPr>
          <w:rFonts w:ascii="Arial" w:hAnsi="Arial" w:cs="Arial"/>
        </w:rPr>
      </w:pPr>
      <w:r w:rsidRPr="000D1BF5">
        <w:rPr>
          <w:rFonts w:ascii="Arial" w:hAnsi="Arial" w:cs="Arial"/>
        </w:rPr>
        <w:t>albo</w:t>
      </w:r>
    </w:p>
    <w:p w14:paraId="2A8E815C" w14:textId="3702AF72" w:rsidR="00076C11" w:rsidRPr="000D1BF5"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b/>
          <w:bCs/>
        </w:rPr>
      </w:pPr>
      <w:r w:rsidRPr="00C73999">
        <w:rPr>
          <w:rFonts w:ascii="Arial" w:hAnsi="Arial" w:cs="Arial"/>
        </w:rPr>
        <w:t>stawką</w:t>
      </w:r>
      <w:r w:rsidRPr="000D1BF5">
        <w:rPr>
          <w:rFonts w:ascii="Arial" w:hAnsi="Arial" w:cs="Arial"/>
          <w:color w:val="000000"/>
          <w:lang w:eastAsia="zh-TW"/>
        </w:rPr>
        <w:t xml:space="preserve"> ryczałtową do 7% kwalifikowalnych kosztów bezpośrednich w module „Prace B+</w:t>
      </w:r>
      <w:r>
        <w:rPr>
          <w:rFonts w:ascii="Arial" w:hAnsi="Arial" w:cs="Arial"/>
          <w:color w:val="000000"/>
          <w:lang w:eastAsia="zh-TW"/>
        </w:rPr>
        <w:t>R” projektu z zastrzeżeniem, że z podstawy naliczania ryczałtu wyłączone są koszty podwykonawstwa.</w:t>
      </w:r>
    </w:p>
    <w:p w14:paraId="7A59BEBC" w14:textId="474302EF" w:rsidR="00076C11" w:rsidRDefault="00076C11" w:rsidP="00076C11">
      <w:pPr>
        <w:spacing w:before="60" w:after="60" w:line="276" w:lineRule="auto"/>
        <w:jc w:val="left"/>
        <w:rPr>
          <w:rFonts w:ascii="Arial" w:hAnsi="Arial" w:cs="Arial"/>
          <w:b/>
          <w:bCs/>
        </w:rPr>
      </w:pPr>
      <w:r w:rsidRPr="00981E6F">
        <w:rPr>
          <w:rFonts w:ascii="Arial" w:hAnsi="Arial" w:cs="Arial"/>
          <w:b/>
          <w:bCs/>
        </w:rPr>
        <w:t>Wnioskodawca wybiera jedną z dwóch w/w metod z zastrzeżeniem, że wybór metody obliczania kosztów pośrednich dokonany w złożonym wniosku o dofinansowanie nie podlega zmianie.</w:t>
      </w:r>
    </w:p>
    <w:p w14:paraId="70D466AF" w14:textId="492C4379" w:rsidR="00076C11" w:rsidRPr="00076C11" w:rsidRDefault="00076C11" w:rsidP="00076C11">
      <w:pPr>
        <w:spacing w:before="60" w:after="60" w:line="276" w:lineRule="auto"/>
        <w:jc w:val="left"/>
        <w:rPr>
          <w:rFonts w:ascii="Arial" w:hAnsi="Arial" w:cs="Arial"/>
        </w:rPr>
      </w:pPr>
      <w:r w:rsidRPr="004C4701">
        <w:rPr>
          <w:rFonts w:ascii="Arial" w:hAnsi="Arial" w:cs="Arial"/>
        </w:rPr>
        <w:t>Wydatki rozliczane uproszczoną metodą są traktowane jako wydatki poniesione. Nie ma obowiązku gromadzenia ani opisywania dokumentów księgowych w ramach projektu na potwierdzenie poniesienia wydatków, które zostały wykazane jako wydatki objęte uproszczoną metodą. Weryfikacja wydatków zadeklarowanych według uproszczonych metod polega na sprawdzeniu, czy beneficjent prawidłowo zastosował określoną wysokość stawki ryczałtowej wynikającą z umowy o dofinansowanie oraz czy prawidłowo wykazał kwotę wydatków będących podstawą wyliczenia stawek ryczałtowych.</w:t>
      </w:r>
    </w:p>
    <w:p w14:paraId="4ED6F1EE" w14:textId="2DD6DB1A" w:rsidR="00076C11" w:rsidRPr="00076C11" w:rsidRDefault="00076C11" w:rsidP="00076C11">
      <w:pPr>
        <w:pStyle w:val="Nagwek4"/>
        <w:numPr>
          <w:ilvl w:val="0"/>
          <w:numId w:val="0"/>
        </w:numPr>
        <w:spacing w:before="240" w:after="240" w:line="276" w:lineRule="auto"/>
        <w:jc w:val="left"/>
        <w:rPr>
          <w:rFonts w:ascii="Arial" w:hAnsi="Arial" w:cs="Arial"/>
          <w:szCs w:val="24"/>
          <w:u w:val="none"/>
        </w:rPr>
      </w:pPr>
      <w:r w:rsidRPr="00A33E49">
        <w:rPr>
          <w:rFonts w:ascii="Arial" w:hAnsi="Arial" w:cs="Arial"/>
          <w:szCs w:val="24"/>
          <w:u w:val="none"/>
        </w:rPr>
        <w:t>Do kosztów pośrednich zalicza się:</w:t>
      </w:r>
    </w:p>
    <w:p w14:paraId="7A69D461" w14:textId="7D1180FA" w:rsidR="002F39CA" w:rsidRPr="000D1BF5" w:rsidRDefault="002F39CA" w:rsidP="00EE5ED3">
      <w:pPr>
        <w:pStyle w:val="Akapitzlist"/>
        <w:numPr>
          <w:ilvl w:val="0"/>
          <w:numId w:val="25"/>
        </w:numPr>
        <w:spacing w:before="60" w:after="60" w:line="276" w:lineRule="auto"/>
        <w:ind w:left="284" w:hanging="426"/>
        <w:jc w:val="left"/>
        <w:textAlignment w:val="auto"/>
        <w:rPr>
          <w:rFonts w:ascii="Arial" w:hAnsi="Arial" w:cs="Arial"/>
        </w:rPr>
      </w:pPr>
      <w:r w:rsidRPr="001F7498">
        <w:rPr>
          <w:rFonts w:ascii="Arial" w:hAnsi="Arial" w:cs="Aria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rsidR="00931114">
        <w:rPr>
          <w:rFonts w:ascii="Arial" w:hAnsi="Arial" w:cs="Arial"/>
        </w:rPr>
        <w:t>;</w:t>
      </w:r>
    </w:p>
    <w:p w14:paraId="7142EADF"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zarządu w projekcie (wynagrodzenia osób uprawnionych do reprezentowania jednostki, których zakresy czynności nie są przypisane wyłącznie do projektu, np. kierownika jednostki);</w:t>
      </w:r>
    </w:p>
    <w:p w14:paraId="2F3956F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personelu obsługowego w projekcie (obsługa kadrowa, finansowa, administracyjna, sekretariat, kancelaria, obsługa prawna, w tym dotycząca zamówień) na potrzeby funkcjonowania jednostki;</w:t>
      </w:r>
    </w:p>
    <w:p w14:paraId="45C9EF3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obsługi księgowej w projekcie (wynagrodzenia osób księgujących wydatki w projekcie, koszty związane ze zleceniem prowadzenia obsługi księgowej projektu przez biuro rachunkowe);</w:t>
      </w:r>
    </w:p>
    <w:p w14:paraId="6EEACE45" w14:textId="238DEB7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utrzymania powierzchni biurowych (czynsz, najem, opłaty administracyjne)</w:t>
      </w:r>
      <w:r w:rsidR="00931114">
        <w:rPr>
          <w:rFonts w:ascii="Arial" w:hAnsi="Arial" w:cs="Arial"/>
        </w:rPr>
        <w:t xml:space="preserve"> </w:t>
      </w:r>
      <w:r w:rsidRPr="000D1BF5">
        <w:rPr>
          <w:rFonts w:ascii="Arial" w:hAnsi="Arial" w:cs="Arial"/>
        </w:rPr>
        <w:t>związanych z obsługą administracyjną projektu;</w:t>
      </w:r>
    </w:p>
    <w:p w14:paraId="40F81D3C" w14:textId="24CC1B4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wydatki związane z otworzeniem lub prowadzeniem wyodrębnionego na rzecz projektu subkonta na rachunku bankowym lub odrębnego rachunku bankowego</w:t>
      </w:r>
      <w:r w:rsidR="00931114">
        <w:rPr>
          <w:rFonts w:ascii="Arial" w:hAnsi="Arial" w:cs="Arial"/>
        </w:rPr>
        <w:t>;</w:t>
      </w:r>
    </w:p>
    <w:p w14:paraId="09865D7E" w14:textId="0412BF56" w:rsidR="004C4701" w:rsidRPr="004C4701" w:rsidRDefault="0081285B" w:rsidP="00EE5ED3">
      <w:pPr>
        <w:pStyle w:val="Akapitzlist"/>
        <w:numPr>
          <w:ilvl w:val="0"/>
          <w:numId w:val="25"/>
        </w:numPr>
        <w:spacing w:before="60" w:after="60" w:line="276" w:lineRule="auto"/>
        <w:ind w:left="284" w:hanging="426"/>
        <w:jc w:val="left"/>
        <w:textAlignment w:val="auto"/>
        <w:rPr>
          <w:rFonts w:ascii="Arial" w:hAnsi="Arial" w:cs="Arial"/>
        </w:rPr>
      </w:pPr>
      <w:r>
        <w:rPr>
          <w:rFonts w:ascii="Arial" w:hAnsi="Arial" w:cs="Arial"/>
        </w:rPr>
        <w:lastRenderedPageBreak/>
        <w:t>odpisy amortyzacyjne</w:t>
      </w:r>
      <w:r w:rsidR="004C4701" w:rsidRPr="004C4701">
        <w:rPr>
          <w:rFonts w:ascii="Arial" w:hAnsi="Arial" w:cs="Arial"/>
        </w:rPr>
        <w:t xml:space="preserve">, </w:t>
      </w:r>
      <w:r>
        <w:rPr>
          <w:rFonts w:ascii="Arial" w:hAnsi="Arial" w:cs="Arial"/>
        </w:rPr>
        <w:t xml:space="preserve">koszty </w:t>
      </w:r>
      <w:r w:rsidRPr="004C4701">
        <w:rPr>
          <w:rFonts w:ascii="Arial" w:hAnsi="Arial" w:cs="Arial"/>
        </w:rPr>
        <w:t>naj</w:t>
      </w:r>
      <w:r>
        <w:rPr>
          <w:rFonts w:ascii="Arial" w:hAnsi="Arial" w:cs="Arial"/>
        </w:rPr>
        <w:t>mu</w:t>
      </w:r>
      <w:r w:rsidRPr="004C4701">
        <w:rPr>
          <w:rFonts w:ascii="Arial" w:hAnsi="Arial" w:cs="Arial"/>
        </w:rPr>
        <w:t xml:space="preserve"> </w:t>
      </w:r>
      <w:r w:rsidR="004C4701" w:rsidRPr="004C4701">
        <w:rPr>
          <w:rFonts w:ascii="Arial" w:hAnsi="Arial" w:cs="Arial"/>
        </w:rPr>
        <w:t>lub zakup aktywów (środków trwałych i wartości niematerialnych i prawnych) używanych na potrzeby osób, o których mowa w pkt 1-4;</w:t>
      </w:r>
    </w:p>
    <w:p w14:paraId="02BD6453" w14:textId="5E42E915"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opłaty za energię elektryczną, cieplną, gazową i wodę, opłaty przesyłowe, opłaty za odprowadzanie ścieków</w:t>
      </w:r>
      <w:r w:rsidR="0081285B">
        <w:rPr>
          <w:rFonts w:ascii="Arial" w:hAnsi="Arial" w:cs="Arial"/>
        </w:rPr>
        <w:t>, opłaty za wywóz odpadów komunalnych</w:t>
      </w:r>
      <w:r w:rsidRPr="004C4701">
        <w:rPr>
          <w:rFonts w:ascii="Arial" w:hAnsi="Arial" w:cs="Arial"/>
        </w:rPr>
        <w:t xml:space="preserve"> w zakresie związanym z obsługą administracyjną </w:t>
      </w:r>
      <w:r w:rsidR="0081285B">
        <w:rPr>
          <w:rFonts w:ascii="Arial" w:hAnsi="Arial" w:cs="Arial"/>
        </w:rPr>
        <w:t>projektu</w:t>
      </w:r>
      <w:r w:rsidRPr="004C4701">
        <w:rPr>
          <w:rFonts w:ascii="Arial" w:hAnsi="Arial" w:cs="Arial"/>
        </w:rPr>
        <w:t>;</w:t>
      </w:r>
    </w:p>
    <w:p w14:paraId="36BE647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pocztowych, telefonicznych, internetowych, kurierskich związanych z obsługą projektu;</w:t>
      </w:r>
    </w:p>
    <w:p w14:paraId="41204E45"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powielania dokumentów związanych z obsługą projektu;</w:t>
      </w:r>
    </w:p>
    <w:p w14:paraId="0F678A48"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materiałów biurowych i artykułów piśmienniczych związanych z obsługą projektu;</w:t>
      </w:r>
    </w:p>
    <w:p w14:paraId="12309E2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ochrony;</w:t>
      </w:r>
    </w:p>
    <w:p w14:paraId="36DD1336" w14:textId="77777777" w:rsidR="00963160" w:rsidRDefault="004C4701" w:rsidP="00EE5ED3">
      <w:pPr>
        <w:pStyle w:val="Akapitzlist"/>
        <w:numPr>
          <w:ilvl w:val="0"/>
          <w:numId w:val="25"/>
        </w:numPr>
        <w:spacing w:line="276" w:lineRule="auto"/>
        <w:ind w:left="283" w:hanging="425"/>
        <w:jc w:val="left"/>
        <w:textAlignment w:val="auto"/>
        <w:rPr>
          <w:rFonts w:ascii="Arial" w:hAnsi="Arial" w:cs="Arial"/>
        </w:rPr>
      </w:pPr>
      <w:r w:rsidRPr="004C4701">
        <w:rPr>
          <w:rFonts w:ascii="Arial" w:hAnsi="Arial" w:cs="Arial"/>
        </w:rPr>
        <w:t>koszty sprzątania pomieszczeń związanych z obsługą projektu, w tym środków czystości, dezynsekcji, dezynfekcji, deratyzacji tych pomieszczeń</w:t>
      </w:r>
      <w:r w:rsidR="00963160">
        <w:rPr>
          <w:rFonts w:ascii="Arial" w:hAnsi="Arial" w:cs="Arial"/>
        </w:rPr>
        <w:t>;</w:t>
      </w:r>
    </w:p>
    <w:p w14:paraId="1886567A" w14:textId="7F22D820" w:rsidR="00647948" w:rsidRPr="00963160" w:rsidRDefault="0081285B" w:rsidP="00EE5ED3">
      <w:pPr>
        <w:pStyle w:val="Akapitzlist"/>
        <w:numPr>
          <w:ilvl w:val="0"/>
          <w:numId w:val="25"/>
        </w:numPr>
        <w:spacing w:after="240" w:line="276" w:lineRule="auto"/>
        <w:ind w:left="284" w:hanging="426"/>
        <w:jc w:val="left"/>
        <w:textAlignment w:val="auto"/>
        <w:rPr>
          <w:rFonts w:ascii="Arial" w:hAnsi="Arial" w:cs="Arial"/>
        </w:rPr>
      </w:pPr>
      <w:r w:rsidRPr="00963160">
        <w:rPr>
          <w:rFonts w:ascii="Arial" w:hAnsi="Arial" w:cs="Arial"/>
        </w:rPr>
        <w:t>opłaty pobierane od dokonywanych transakcji płatniczych (krajowych lub zagranicznych) związanych z projektem</w:t>
      </w:r>
      <w:r w:rsidR="00931114">
        <w:rPr>
          <w:rFonts w:ascii="Arial" w:hAnsi="Arial" w:cs="Arial"/>
        </w:rPr>
        <w:t>.</w:t>
      </w:r>
    </w:p>
    <w:p w14:paraId="351BC695" w14:textId="40ACC67C" w:rsidR="00C73999" w:rsidRPr="009E1F02" w:rsidRDefault="00C73999" w:rsidP="00981E6F">
      <w:pPr>
        <w:pStyle w:val="Nagwek4"/>
        <w:numPr>
          <w:ilvl w:val="0"/>
          <w:numId w:val="0"/>
        </w:numPr>
        <w:spacing w:before="240" w:after="240" w:line="276" w:lineRule="auto"/>
        <w:jc w:val="left"/>
        <w:rPr>
          <w:rFonts w:ascii="Arial" w:eastAsia="Calibri" w:hAnsi="Arial" w:cs="Arial"/>
          <w:b/>
          <w:bCs/>
        </w:rPr>
      </w:pPr>
      <w:bookmarkStart w:id="13" w:name="_Toc121385245"/>
      <w:r w:rsidRPr="009E1F02">
        <w:rPr>
          <w:rFonts w:ascii="Arial" w:eastAsia="Calibri" w:hAnsi="Arial" w:cs="Arial"/>
          <w:b/>
          <w:bCs/>
        </w:rPr>
        <w:t>Wydatki niekwalifikowane</w:t>
      </w:r>
    </w:p>
    <w:p w14:paraId="1768D8ED" w14:textId="7B7047E0" w:rsidR="004C4701" w:rsidRPr="00C73999" w:rsidRDefault="004C4701" w:rsidP="009E1F02">
      <w:pPr>
        <w:pStyle w:val="Nagwek4"/>
        <w:numPr>
          <w:ilvl w:val="0"/>
          <w:numId w:val="0"/>
        </w:numPr>
        <w:spacing w:before="60" w:after="60" w:line="276" w:lineRule="auto"/>
        <w:jc w:val="left"/>
        <w:rPr>
          <w:rFonts w:ascii="Arial" w:eastAsia="Calibri" w:hAnsi="Arial" w:cs="Arial"/>
          <w:u w:val="none"/>
        </w:rPr>
      </w:pPr>
      <w:r w:rsidRPr="00C73999">
        <w:rPr>
          <w:rFonts w:ascii="Arial" w:eastAsia="Calibri" w:hAnsi="Arial" w:cs="Arial"/>
          <w:u w:val="none"/>
        </w:rPr>
        <w:t>Wydatkami niekwalifikowaln</w:t>
      </w:r>
      <w:bookmarkEnd w:id="13"/>
      <w:r w:rsidRPr="00C73999">
        <w:rPr>
          <w:rFonts w:ascii="Arial" w:eastAsia="Calibri" w:hAnsi="Arial" w:cs="Arial"/>
          <w:u w:val="none"/>
        </w:rPr>
        <w:t xml:space="preserve">ymi </w:t>
      </w:r>
      <w:r w:rsidR="000D1D1C" w:rsidRPr="00981E6F">
        <w:rPr>
          <w:rFonts w:ascii="Arial" w:eastAsia="Calibri" w:hAnsi="Arial" w:cs="Arial"/>
          <w:u w:val="none"/>
        </w:rPr>
        <w:t xml:space="preserve">są wydatki niespełniające warunków kwalifikowalności, wskazane jako niekwalifikowalne w </w:t>
      </w:r>
      <w:r w:rsidR="00C73999">
        <w:rPr>
          <w:rFonts w:ascii="Arial" w:eastAsia="Calibri" w:hAnsi="Arial" w:cs="Arial"/>
          <w:u w:val="none"/>
        </w:rPr>
        <w:t>„</w:t>
      </w:r>
      <w:r w:rsidR="000D1D1C" w:rsidRPr="00981E6F">
        <w:rPr>
          <w:rFonts w:ascii="Arial" w:eastAsia="Calibri" w:hAnsi="Arial" w:cs="Arial"/>
          <w:u w:val="none"/>
        </w:rPr>
        <w:t>Wytycznych dotyczących kwalifikowalności wydatków na lata 2021-2027</w:t>
      </w:r>
      <w:r w:rsidR="00C73999">
        <w:rPr>
          <w:rFonts w:ascii="Arial" w:eastAsia="Calibri" w:hAnsi="Arial" w:cs="Arial"/>
          <w:u w:val="none"/>
        </w:rPr>
        <w:t>”</w:t>
      </w:r>
      <w:r w:rsidR="000D1D1C" w:rsidRPr="00981E6F">
        <w:rPr>
          <w:rFonts w:ascii="Arial" w:eastAsia="Calibri" w:hAnsi="Arial" w:cs="Arial"/>
          <w:u w:val="none"/>
        </w:rPr>
        <w:t xml:space="preserve"> oraz</w:t>
      </w:r>
      <w:r w:rsidRPr="00C73999">
        <w:rPr>
          <w:rFonts w:ascii="Arial" w:eastAsia="Calibri" w:hAnsi="Arial" w:cs="Arial"/>
          <w:u w:val="none"/>
        </w:rPr>
        <w:t xml:space="preserve"> nieujęte w katalogu wydatków kwalifikowanych</w:t>
      </w:r>
      <w:r w:rsidR="001B14EF" w:rsidRPr="00C73999">
        <w:rPr>
          <w:rFonts w:ascii="Arial" w:eastAsia="Calibri" w:hAnsi="Arial" w:cs="Arial"/>
          <w:u w:val="none"/>
        </w:rPr>
        <w:t>, w tym na przykład:</w:t>
      </w:r>
    </w:p>
    <w:p w14:paraId="536BAB8A" w14:textId="4A8197C7" w:rsidR="00FE7ED9" w:rsidRPr="009E1F02" w:rsidRDefault="004C4701"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bCs/>
        </w:rPr>
        <w:t>podatek</w:t>
      </w:r>
      <w:r w:rsidRPr="009E1F02">
        <w:rPr>
          <w:rFonts w:ascii="Arial" w:eastAsia="Calibri" w:hAnsi="Arial" w:cs="Arial"/>
        </w:rPr>
        <w:t xml:space="preserve"> VAT</w:t>
      </w:r>
      <w:r w:rsidR="00931114">
        <w:rPr>
          <w:rFonts w:ascii="Arial" w:eastAsia="Calibri" w:hAnsi="Arial" w:cs="Arial"/>
        </w:rPr>
        <w:t>;</w:t>
      </w:r>
    </w:p>
    <w:p w14:paraId="7C08B13D" w14:textId="28F5CC26" w:rsidR="00FE7ED9" w:rsidRPr="009E1F02" w:rsidRDefault="00FE7ED9"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rPr>
        <w:t xml:space="preserve">nabycie nieruchomości (zabudowanej i niezabudowanej), </w:t>
      </w:r>
    </w:p>
    <w:p w14:paraId="565EA2EA" w14:textId="23D0BAF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robót budowlanych i materiałów budowlanych związanych z remontem</w:t>
      </w:r>
      <w:r w:rsidR="00931114">
        <w:rPr>
          <w:rFonts w:ascii="Arial" w:hAnsi="Arial" w:cs="Arial"/>
        </w:rPr>
        <w:t>;</w:t>
      </w:r>
    </w:p>
    <w:p w14:paraId="26F706E7" w14:textId="6C5A05E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części zamienne do maszyn i urządzeń</w:t>
      </w:r>
      <w:r w:rsidR="00931114">
        <w:rPr>
          <w:rFonts w:ascii="Arial" w:hAnsi="Arial" w:cs="Arial"/>
        </w:rPr>
        <w:t>;</w:t>
      </w:r>
    </w:p>
    <w:p w14:paraId="723B3980" w14:textId="65EC189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wykonywane systemem gospodarczym</w:t>
      </w:r>
      <w:r w:rsidR="00931114">
        <w:rPr>
          <w:rFonts w:ascii="Arial" w:hAnsi="Arial" w:cs="Arial"/>
        </w:rPr>
        <w:t>;</w:t>
      </w:r>
    </w:p>
    <w:p w14:paraId="592F572B" w14:textId="7D5A01DB"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dodatkowe i uzupełniające</w:t>
      </w:r>
      <w:r w:rsidR="00931114">
        <w:rPr>
          <w:rFonts w:ascii="Arial" w:hAnsi="Arial" w:cs="Arial"/>
        </w:rPr>
        <w:t>;</w:t>
      </w:r>
    </w:p>
    <w:p w14:paraId="1D4EBC9A" w14:textId="27BCA53E"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używanych środków trwałych</w:t>
      </w:r>
      <w:r w:rsidR="00931114">
        <w:rPr>
          <w:rFonts w:ascii="Arial" w:hAnsi="Arial" w:cs="Arial"/>
        </w:rPr>
        <w:t>;</w:t>
      </w:r>
    </w:p>
    <w:p w14:paraId="398D52A7" w14:textId="4E69AE1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zamówienia dodatkowe i uzupełniające</w:t>
      </w:r>
      <w:r w:rsidR="00931114">
        <w:rPr>
          <w:rFonts w:ascii="Arial" w:hAnsi="Arial" w:cs="Arial"/>
        </w:rPr>
        <w:t>;</w:t>
      </w:r>
    </w:p>
    <w:p w14:paraId="4E73BB45" w14:textId="744E8285" w:rsidR="00B2187C"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wydatki poniesione na dokumentację niezbędną do przygotowania projektu (m.in.: biznesplan, raport oddziaływania na środowisko, operat szacunkowy)</w:t>
      </w:r>
      <w:r w:rsidR="00931114">
        <w:rPr>
          <w:rFonts w:ascii="Arial" w:hAnsi="Arial" w:cs="Arial"/>
        </w:rPr>
        <w:t>;</w:t>
      </w:r>
    </w:p>
    <w:p w14:paraId="48E429A5" w14:textId="4D3D1C2B" w:rsidR="00B2187C" w:rsidRPr="009E1F02" w:rsidRDefault="00B2187C" w:rsidP="00EE5ED3">
      <w:pPr>
        <w:pStyle w:val="Default"/>
        <w:numPr>
          <w:ilvl w:val="0"/>
          <w:numId w:val="24"/>
        </w:numPr>
        <w:spacing w:before="60" w:after="60" w:line="276" w:lineRule="auto"/>
        <w:rPr>
          <w:rFonts w:ascii="Arial" w:hAnsi="Arial" w:cs="Arial"/>
        </w:rPr>
      </w:pPr>
      <w:r w:rsidRPr="009E1F02">
        <w:rPr>
          <w:rFonts w:ascii="Arial" w:hAnsi="Arial" w:cs="Arial"/>
        </w:rPr>
        <w:t>wkład niepieniężny</w:t>
      </w:r>
      <w:r w:rsidR="00931114">
        <w:rPr>
          <w:rFonts w:ascii="Arial" w:hAnsi="Arial" w:cs="Arial"/>
        </w:rPr>
        <w:t>;</w:t>
      </w:r>
    </w:p>
    <w:p w14:paraId="2B97590F" w14:textId="3DA385E5" w:rsidR="00FE7ED9" w:rsidRDefault="00332DD1" w:rsidP="00242417">
      <w:pPr>
        <w:pStyle w:val="Default"/>
        <w:numPr>
          <w:ilvl w:val="0"/>
          <w:numId w:val="24"/>
        </w:numPr>
        <w:spacing w:before="60" w:after="240" w:line="276" w:lineRule="auto"/>
        <w:ind w:left="714" w:hanging="357"/>
        <w:rPr>
          <w:rFonts w:ascii="Arial" w:hAnsi="Arial" w:cs="Arial"/>
        </w:rPr>
      </w:pPr>
      <w:r w:rsidRPr="009E1F02">
        <w:rPr>
          <w:rFonts w:ascii="Arial" w:hAnsi="Arial" w:cs="Arial"/>
        </w:rPr>
        <w:t>amortyzacja jednorazowa</w:t>
      </w:r>
      <w:r w:rsidR="009E1F02">
        <w:rPr>
          <w:rFonts w:ascii="Arial" w:hAnsi="Arial" w:cs="Arial"/>
        </w:rPr>
        <w:t>.</w:t>
      </w:r>
    </w:p>
    <w:p w14:paraId="0909681F" w14:textId="77777777" w:rsidR="00242417" w:rsidRPr="00E3659C" w:rsidRDefault="00242417" w:rsidP="00242417">
      <w:pPr>
        <w:spacing w:before="240"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044C508C" w14:textId="3CFA875D" w:rsidR="00237F56" w:rsidRDefault="00237F56" w:rsidP="00030580">
      <w:pPr>
        <w:suppressAutoHyphens w:val="0"/>
        <w:spacing w:line="276" w:lineRule="auto"/>
        <w:jc w:val="left"/>
        <w:rPr>
          <w:rFonts w:ascii="Arial" w:hAnsi="Arial" w:cs="Arial"/>
          <w:b/>
          <w:color w:val="7030A0"/>
        </w:rPr>
      </w:pPr>
      <w:r>
        <w:rPr>
          <w:rFonts w:ascii="Arial" w:hAnsi="Arial" w:cs="Arial"/>
          <w:b/>
          <w:color w:val="7030A0"/>
        </w:rPr>
        <w:br w:type="page"/>
      </w:r>
    </w:p>
    <w:p w14:paraId="4D589F31" w14:textId="54ACB3C9" w:rsidR="007F56E2" w:rsidRPr="00EA7C5E" w:rsidRDefault="007F56E2" w:rsidP="00030580">
      <w:pPr>
        <w:pStyle w:val="Nagwek2"/>
        <w:numPr>
          <w:ilvl w:val="0"/>
          <w:numId w:val="0"/>
        </w:numPr>
        <w:spacing w:before="0" w:after="240" w:line="276" w:lineRule="auto"/>
        <w:ind w:left="360" w:hanging="360"/>
        <w:jc w:val="left"/>
        <w:rPr>
          <w:color w:val="7030A0"/>
          <w:sz w:val="24"/>
          <w:szCs w:val="24"/>
        </w:rPr>
      </w:pPr>
      <w:bookmarkStart w:id="14" w:name="_Toc129602550"/>
      <w:r w:rsidRPr="00EA7C5E">
        <w:rPr>
          <w:color w:val="7030A0"/>
          <w:sz w:val="24"/>
          <w:szCs w:val="24"/>
        </w:rPr>
        <w:lastRenderedPageBreak/>
        <w:t xml:space="preserve">1.2 </w:t>
      </w:r>
      <w:r w:rsidR="00242417">
        <w:rPr>
          <w:color w:val="7030A0"/>
          <w:sz w:val="24"/>
          <w:szCs w:val="24"/>
        </w:rPr>
        <w:t xml:space="preserve">Działanie 1.2 </w:t>
      </w:r>
      <w:r w:rsidRPr="00EA7C5E">
        <w:rPr>
          <w:color w:val="7030A0"/>
          <w:sz w:val="24"/>
          <w:szCs w:val="24"/>
        </w:rPr>
        <w:t>Cyfryzacja</w:t>
      </w:r>
      <w:bookmarkEnd w:id="14"/>
    </w:p>
    <w:p w14:paraId="16E15DDE" w14:textId="0EC25543"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PLATFORMY E-USŁUG PUBLICZNYCH SZCZEBLA REGIONALNEGO/LOKALNEGO</w:t>
      </w:r>
    </w:p>
    <w:p w14:paraId="5EDAC9AA" w14:textId="2D96F8D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CYBERBEZPIECZEŃSTWO</w:t>
      </w:r>
    </w:p>
    <w:p w14:paraId="2EC87CD5" w14:textId="0EB2723B" w:rsidR="003C42D7" w:rsidRPr="003C530A" w:rsidRDefault="003C42D7" w:rsidP="00242417">
      <w:pPr>
        <w:spacing w:line="276" w:lineRule="auto"/>
        <w:jc w:val="left"/>
        <w:rPr>
          <w:rFonts w:ascii="Arial" w:hAnsi="Arial" w:cs="Arial"/>
          <w:b/>
          <w:color w:val="0070C0"/>
        </w:rPr>
      </w:pPr>
      <w:bookmarkStart w:id="15" w:name="_Hlk126670662"/>
      <w:r w:rsidRPr="003C530A">
        <w:rPr>
          <w:rFonts w:ascii="Arial" w:hAnsi="Arial" w:cs="Arial"/>
          <w:b/>
          <w:color w:val="0070C0"/>
        </w:rPr>
        <w:t>ROZWÓJ INFRASTRUKTURY DANYCH PRZESTRZENNYCH</w:t>
      </w:r>
    </w:p>
    <w:p w14:paraId="3C3FC1E4" w14:textId="4472837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APLIKACJE W OPARCIU O DOSTĘPNE CYFROWO ISP</w:t>
      </w:r>
    </w:p>
    <w:bookmarkEnd w:id="15"/>
    <w:p w14:paraId="29AD891B" w14:textId="558E7471"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WDRAŻANIE NOWOCZESNYCH ROZWIĄZAŃ TECHNOLOGICZNYCH</w:t>
      </w:r>
    </w:p>
    <w:p w14:paraId="4D42AE57" w14:textId="77777777" w:rsidR="00EC1B11" w:rsidRDefault="00EC1B11" w:rsidP="00EC1B11">
      <w:pPr>
        <w:spacing w:before="240" w:after="240" w:line="276" w:lineRule="auto"/>
        <w:jc w:val="left"/>
        <w:rPr>
          <w:rFonts w:ascii="Arial" w:eastAsia="Calibri" w:hAnsi="Arial" w:cs="Arial"/>
          <w:bCs/>
        </w:rPr>
      </w:pPr>
      <w:bookmarkStart w:id="16" w:name="_Hlk128723267"/>
      <w:r>
        <w:rPr>
          <w:rFonts w:ascii="Arial" w:eastAsia="Calibri" w:hAnsi="Arial" w:cs="Arial"/>
          <w:b/>
        </w:rPr>
        <w:t>Kwalifikowalne są następujące wydatki:</w:t>
      </w:r>
    </w:p>
    <w:p w14:paraId="12272B6E" w14:textId="67A06AF4" w:rsidR="00EC1B11" w:rsidRPr="002F356D"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 xml:space="preserve">koszty bezpośrednie </w:t>
      </w:r>
      <w:r>
        <w:rPr>
          <w:rFonts w:ascii="Arial" w:eastAsia="Calibri" w:hAnsi="Arial" w:cs="Arial"/>
          <w:bCs/>
        </w:rPr>
        <w:t>– kwalifikowane są</w:t>
      </w:r>
      <w:r w:rsidR="002F356D">
        <w:rPr>
          <w:rFonts w:ascii="Arial" w:eastAsia="Calibri" w:hAnsi="Arial" w:cs="Arial"/>
          <w:bCs/>
        </w:rPr>
        <w:t>:</w:t>
      </w:r>
    </w:p>
    <w:p w14:paraId="3C0DFF66" w14:textId="77777777" w:rsidR="002F356D" w:rsidRPr="00035332" w:rsidRDefault="002F356D" w:rsidP="006A397A">
      <w:pPr>
        <w:pStyle w:val="Akapitzlist"/>
        <w:numPr>
          <w:ilvl w:val="0"/>
          <w:numId w:val="37"/>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000BD243" w14:textId="77777777" w:rsidR="002F356D" w:rsidRPr="00035332" w:rsidRDefault="002F356D" w:rsidP="006A397A">
      <w:pPr>
        <w:numPr>
          <w:ilvl w:val="0"/>
          <w:numId w:val="37"/>
        </w:numPr>
        <w:tabs>
          <w:tab w:val="left" w:pos="851"/>
        </w:tabs>
        <w:spacing w:before="60" w:after="60" w:line="276" w:lineRule="auto"/>
        <w:ind w:left="851" w:hanging="425"/>
        <w:jc w:val="left"/>
        <w:rPr>
          <w:rFonts w:ascii="Arial" w:eastAsia="Calibri" w:hAnsi="Arial" w:cs="Arial"/>
          <w:b/>
          <w:color w:val="000000" w:themeColor="text1"/>
        </w:rPr>
      </w:pPr>
      <w:bookmarkStart w:id="17" w:name="_Hlk128131629"/>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608DFE86"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 20 000 zł (limit nie obejmuje dokumentacji technicznej i dokumentacji środowiskowej),</w:t>
      </w:r>
    </w:p>
    <w:p w14:paraId="426A3EA3"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 40 000 zł (limit nie obejmuje dokumentacji technicznej i dokumentacji środowiskowej)</w:t>
      </w:r>
      <w:r w:rsidRPr="00035332">
        <w:rPr>
          <w:rFonts w:ascii="Arial" w:eastAsia="Calibri" w:hAnsi="Arial" w:cs="Arial"/>
          <w:iCs/>
        </w:rPr>
        <w:t>;</w:t>
      </w:r>
      <w:bookmarkEnd w:id="17"/>
    </w:p>
    <w:p w14:paraId="03B9DD0D" w14:textId="77777777" w:rsidR="00EC1B11"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koszty pośrednie:</w:t>
      </w:r>
    </w:p>
    <w:p w14:paraId="0C61F725" w14:textId="77777777" w:rsidR="00EC1B11" w:rsidRPr="00B140C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koszty pośrednie wskazane w </w:t>
      </w:r>
      <w:r w:rsidRPr="00F7328E">
        <w:rPr>
          <w:rFonts w:ascii="Arial" w:eastAsia="Calibri" w:hAnsi="Arial" w:cs="Arial"/>
          <w:bCs/>
          <w:i/>
        </w:rPr>
        <w:t>Wytycznych dotyczących kwalifikowalności wydatków na lata 2021-2027</w:t>
      </w:r>
      <w:r>
        <w:rPr>
          <w:rFonts w:ascii="Arial" w:eastAsia="Calibri" w:hAnsi="Arial" w:cs="Arial"/>
          <w:bCs/>
          <w:iCs/>
        </w:rPr>
        <w:t>,</w:t>
      </w:r>
    </w:p>
    <w:p w14:paraId="2552FB7E"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sidRPr="00F7328E">
        <w:rPr>
          <w:rFonts w:ascii="Arial" w:eastAsia="Calibri" w:hAnsi="Arial" w:cs="Arial"/>
          <w:bCs/>
        </w:rPr>
        <w:t xml:space="preserve">koszty </w:t>
      </w:r>
      <w:r>
        <w:rPr>
          <w:rFonts w:ascii="Arial" w:eastAsia="Calibri" w:hAnsi="Arial" w:cs="Arial"/>
          <w:bCs/>
        </w:rPr>
        <w:t>związane z promocją projektu,</w:t>
      </w:r>
    </w:p>
    <w:p w14:paraId="7B86DB53"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 zakupu </w:t>
      </w:r>
      <w:r w:rsidRPr="000A31D2">
        <w:rPr>
          <w:rFonts w:ascii="Arial" w:eastAsia="Calibri" w:hAnsi="Arial" w:cs="Arial"/>
          <w:bCs/>
        </w:rPr>
        <w:t>podpis</w:t>
      </w:r>
      <w:r>
        <w:rPr>
          <w:rFonts w:ascii="Arial" w:eastAsia="Calibri" w:hAnsi="Arial" w:cs="Arial"/>
          <w:bCs/>
        </w:rPr>
        <w:t xml:space="preserve">u </w:t>
      </w:r>
      <w:r w:rsidRPr="000A31D2">
        <w:rPr>
          <w:rFonts w:ascii="Arial" w:eastAsia="Calibri" w:hAnsi="Arial" w:cs="Arial"/>
          <w:bCs/>
        </w:rPr>
        <w:t>elektroniczn</w:t>
      </w:r>
      <w:r>
        <w:rPr>
          <w:rFonts w:ascii="Arial" w:eastAsia="Calibri" w:hAnsi="Arial" w:cs="Arial"/>
          <w:bCs/>
        </w:rPr>
        <w:t>ego</w:t>
      </w:r>
      <w:r w:rsidRPr="000A31D2">
        <w:rPr>
          <w:rFonts w:ascii="Arial" w:eastAsia="Calibri" w:hAnsi="Arial" w:cs="Arial"/>
          <w:bCs/>
        </w:rPr>
        <w:t xml:space="preserve"> weryfikowan</w:t>
      </w:r>
      <w:r>
        <w:rPr>
          <w:rFonts w:ascii="Arial" w:eastAsia="Calibri" w:hAnsi="Arial" w:cs="Arial"/>
          <w:bCs/>
        </w:rPr>
        <w:t>ego</w:t>
      </w:r>
      <w:r w:rsidRPr="000A31D2">
        <w:rPr>
          <w:rFonts w:ascii="Arial" w:eastAsia="Calibri" w:hAnsi="Arial" w:cs="Arial"/>
          <w:bCs/>
        </w:rPr>
        <w:t xml:space="preserve"> za pomocą ważnego kwalifikowalnego certyfikatu</w:t>
      </w:r>
      <w:r>
        <w:rPr>
          <w:rFonts w:ascii="Arial" w:eastAsia="Calibri" w:hAnsi="Arial" w:cs="Arial"/>
          <w:bCs/>
        </w:rPr>
        <w:t>.</w:t>
      </w:r>
    </w:p>
    <w:p w14:paraId="7F98F516" w14:textId="77777777" w:rsidR="00EC1B11" w:rsidRPr="004C4701" w:rsidRDefault="00EC1B11" w:rsidP="00EC1B11">
      <w:pPr>
        <w:spacing w:before="60" w:after="60" w:line="276" w:lineRule="auto"/>
        <w:jc w:val="left"/>
        <w:rPr>
          <w:rFonts w:ascii="Arial" w:hAnsi="Arial" w:cs="Arial"/>
        </w:rPr>
      </w:pPr>
      <w:r w:rsidRPr="004C4701">
        <w:rPr>
          <w:rFonts w:ascii="Arial" w:hAnsi="Arial" w:cs="Arial"/>
          <w:b/>
          <w:bCs/>
        </w:rPr>
        <w:t xml:space="preserve">W ramach projektu koszty pośrednie rozliczane są wyłącznie </w:t>
      </w:r>
      <w:r w:rsidRPr="000A31D2">
        <w:rPr>
          <w:rFonts w:ascii="Arial" w:hAnsi="Arial" w:cs="Arial"/>
          <w:b/>
          <w:bCs/>
          <w:color w:val="000000"/>
          <w:lang w:eastAsia="zh-TW"/>
        </w:rPr>
        <w:t>stawką ryczałtową w wysokości 0,5% kwalifikowalnych kosztów bezpośrednich</w:t>
      </w:r>
      <w:r w:rsidRPr="004C4701">
        <w:rPr>
          <w:rFonts w:ascii="Arial" w:hAnsi="Arial" w:cs="Arial"/>
          <w:color w:val="000000"/>
          <w:lang w:eastAsia="zh-TW"/>
        </w:rPr>
        <w:t xml:space="preserve">, </w:t>
      </w:r>
      <w:r>
        <w:rPr>
          <w:rFonts w:ascii="Arial" w:hAnsi="Arial" w:cs="Arial"/>
          <w:color w:val="000000"/>
          <w:lang w:eastAsia="zh-TW"/>
        </w:rPr>
        <w:br/>
      </w:r>
      <w:r w:rsidRPr="004C4701">
        <w:rPr>
          <w:rFonts w:ascii="Arial" w:hAnsi="Arial" w:cs="Arial"/>
          <w:color w:val="000000"/>
          <w:lang w:eastAsia="zh-TW"/>
        </w:rPr>
        <w:t xml:space="preserve">o której mowa w art. 54 lit a </w:t>
      </w:r>
      <w:r w:rsidRPr="004C4701">
        <w:rPr>
          <w:rFonts w:ascii="Arial" w:hAnsi="Arial" w:cs="Arial"/>
        </w:rPr>
        <w:t>rozporządzenia 2021/1060</w:t>
      </w:r>
      <w:r>
        <w:rPr>
          <w:rFonts w:ascii="Arial" w:hAnsi="Arial" w:cs="Arial"/>
        </w:rPr>
        <w:t>.</w:t>
      </w:r>
    </w:p>
    <w:p w14:paraId="64454E17" w14:textId="56356102" w:rsidR="00EC1B11" w:rsidRPr="00EC1B11" w:rsidRDefault="00EC1B11" w:rsidP="005E16E4">
      <w:pPr>
        <w:spacing w:after="240" w:line="276" w:lineRule="auto"/>
        <w:jc w:val="left"/>
        <w:rPr>
          <w:rFonts w:ascii="Arial" w:eastAsia="Calibri" w:hAnsi="Arial" w:cs="Arial"/>
          <w:bCs/>
        </w:rPr>
      </w:pPr>
      <w:r w:rsidRPr="004C4701">
        <w:rPr>
          <w:rFonts w:ascii="Arial" w:hAnsi="Arial" w:cs="Arial"/>
        </w:rPr>
        <w:t xml:space="preserve">Wydatki rozliczane </w:t>
      </w:r>
      <w:r>
        <w:rPr>
          <w:rFonts w:ascii="Arial" w:hAnsi="Arial" w:cs="Arial"/>
        </w:rPr>
        <w:t>stawką ryczałtową</w:t>
      </w:r>
      <w:r w:rsidRPr="004C4701">
        <w:rPr>
          <w:rFonts w:ascii="Arial" w:hAnsi="Arial" w:cs="Arial"/>
        </w:rPr>
        <w:t xml:space="preserve"> są traktowane jako wydatki poniesione. Nie ma obowiązku gromadzenia ani opisywania dokumentów księgowych w ramach projektu na potwierdzenie poniesienia wydatków, które zostały wykazane jako wydatki objęte </w:t>
      </w:r>
      <w:r>
        <w:rPr>
          <w:rFonts w:ascii="Arial" w:hAnsi="Arial" w:cs="Arial"/>
        </w:rPr>
        <w:t>stawką ryczałtową</w:t>
      </w:r>
      <w:r w:rsidRPr="004C4701">
        <w:rPr>
          <w:rFonts w:ascii="Arial" w:hAnsi="Arial" w:cs="Arial"/>
        </w:rPr>
        <w:t xml:space="preserve">. Weryfikacja wydatków zadeklarowanych według </w:t>
      </w:r>
      <w:r>
        <w:rPr>
          <w:rFonts w:ascii="Arial" w:hAnsi="Arial" w:cs="Arial"/>
        </w:rPr>
        <w:t xml:space="preserve">stawki </w:t>
      </w:r>
      <w:r>
        <w:rPr>
          <w:rFonts w:ascii="Arial" w:hAnsi="Arial" w:cs="Arial"/>
        </w:rPr>
        <w:lastRenderedPageBreak/>
        <w:t>ryczałtowej</w:t>
      </w:r>
      <w:r w:rsidRPr="004C4701">
        <w:rPr>
          <w:rFonts w:ascii="Arial" w:hAnsi="Arial" w:cs="Arial"/>
        </w:rPr>
        <w:t xml:space="preserve"> polega na sprawdzeniu, czy beneficjent prawidłowo zastosował określoną wysokość stawki wynikającą z umowy o dofinansowanie oraz czy prawidłowo wykazał kwotę wydatków będących podstawą </w:t>
      </w:r>
      <w:r>
        <w:rPr>
          <w:rFonts w:ascii="Arial" w:hAnsi="Arial" w:cs="Arial"/>
        </w:rPr>
        <w:t xml:space="preserve">jej </w:t>
      </w:r>
      <w:r w:rsidRPr="004C4701">
        <w:rPr>
          <w:rFonts w:ascii="Arial" w:hAnsi="Arial" w:cs="Arial"/>
        </w:rPr>
        <w:t>wyliczenia.</w:t>
      </w:r>
    </w:p>
    <w:p w14:paraId="5D89DB67" w14:textId="4ED21AA3" w:rsidR="005E16E4" w:rsidRPr="005E16E4" w:rsidRDefault="005E16E4" w:rsidP="005E16E4">
      <w:pPr>
        <w:spacing w:after="240" w:line="276" w:lineRule="auto"/>
        <w:jc w:val="left"/>
        <w:rPr>
          <w:rFonts w:ascii="Arial" w:hAnsi="Arial" w:cs="Arial"/>
        </w:rPr>
      </w:pPr>
      <w:r w:rsidRPr="005E16E4">
        <w:rPr>
          <w:rFonts w:ascii="Arial" w:eastAsia="Calibri" w:hAnsi="Arial" w:cs="Arial"/>
          <w:b/>
        </w:rPr>
        <w:t xml:space="preserve">Niekwalifikowalne są wydatki niespełniające ogólnych warunków kwalifikowalności, wskazane jako niekwalifikowalne w </w:t>
      </w:r>
      <w:r w:rsidRPr="005E16E4">
        <w:rPr>
          <w:rFonts w:ascii="Arial" w:eastAsia="Calibri" w:hAnsi="Arial" w:cs="Arial"/>
          <w:b/>
          <w:i/>
        </w:rPr>
        <w:t>Wytycznych dotyczących kwalifikowalności wydatków na lata 2021-2027</w:t>
      </w:r>
      <w:r w:rsidR="002F356D">
        <w:rPr>
          <w:rFonts w:ascii="Arial" w:eastAsia="Calibri" w:hAnsi="Arial" w:cs="Arial"/>
          <w:b/>
          <w:i/>
        </w:rPr>
        <w:t>,</w:t>
      </w:r>
      <w:r w:rsidRPr="005E16E4">
        <w:rPr>
          <w:rFonts w:ascii="Arial" w:eastAsia="Calibri" w:hAnsi="Arial" w:cs="Arial"/>
          <w:b/>
        </w:rPr>
        <w:t xml:space="preserve"> </w:t>
      </w:r>
      <w:r w:rsidR="002F356D" w:rsidRPr="00035332">
        <w:rPr>
          <w:rFonts w:ascii="Arial" w:eastAsia="Calibri" w:hAnsi="Arial" w:cs="Arial"/>
          <w:b/>
          <w:color w:val="000000" w:themeColor="text1"/>
        </w:rPr>
        <w:t xml:space="preserve">wynikające z SZOP dla danego działania </w:t>
      </w:r>
      <w:r w:rsidRPr="005E16E4">
        <w:rPr>
          <w:rFonts w:ascii="Arial" w:eastAsia="Calibri" w:hAnsi="Arial" w:cs="Arial"/>
          <w:b/>
        </w:rPr>
        <w:t>oraz:</w:t>
      </w:r>
    </w:p>
    <w:p w14:paraId="7749C70D"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64662951"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bieżąca eksploatacja i utrzymanie produktów projektu / obiektów / infrastruktury,</w:t>
      </w:r>
    </w:p>
    <w:p w14:paraId="3E4C0256" w14:textId="0FD2B77C"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trwałe wykorzystywane w celu wspomagania procesu wdrażania projektu, służące do wykonania zakresu rzeczowego projektu (nie dotyczy urządzeń do digitalizacji zasobów),</w:t>
      </w:r>
    </w:p>
    <w:p w14:paraId="0502650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zakup wyposażenia niebędącego środkiem trwałym,</w:t>
      </w:r>
    </w:p>
    <w:p w14:paraId="47EA7178" w14:textId="0612FA95"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transportu</w:t>
      </w:r>
      <w:r w:rsidR="00582318">
        <w:rPr>
          <w:rFonts w:ascii="Arial" w:hAnsi="Arial" w:cs="Arial"/>
        </w:rPr>
        <w:t>,</w:t>
      </w:r>
    </w:p>
    <w:p w14:paraId="080FDDB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amortyzacja,</w:t>
      </w:r>
    </w:p>
    <w:p w14:paraId="63B97624"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5CF639E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 nadzoru (np. inwestorskiego, autorskiego) oraz opracowania dokumentacji na zakres wykraczający poza zakres rzeczowy projektu (w celu 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D18A2FE"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bookmarkStart w:id="18" w:name="_Hlk128031581"/>
      <w:r w:rsidRPr="00035332">
        <w:rPr>
          <w:rFonts w:ascii="Arial" w:hAnsi="Arial" w:cs="Arial"/>
        </w:rPr>
        <w:t>koszt przygotowania dokumentacji, która nie jest wymagana przez IZ lub przepisy prawa</w:t>
      </w:r>
      <w:bookmarkEnd w:id="18"/>
      <w:r w:rsidRPr="00035332">
        <w:rPr>
          <w:rFonts w:ascii="Arial" w:hAnsi="Arial" w:cs="Arial"/>
        </w:rPr>
        <w:t>,</w:t>
      </w:r>
    </w:p>
    <w:p w14:paraId="6531D412"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wkład niepieniężny stanowiący część lub całość wkładu własnego,</w:t>
      </w:r>
    </w:p>
    <w:p w14:paraId="43A1A2A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wynagrodzenia ponoszone w związku z wykonawstwem własnym beneficjenta lub jego pracowników,</w:t>
      </w:r>
    </w:p>
    <w:p w14:paraId="2AEA0B5B"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usługi w zakresie audytu innego niż wymagany przez IZ lub przepisy prawa,</w:t>
      </w:r>
    </w:p>
    <w:p w14:paraId="6FC2735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 xml:space="preserve">usługi zarządzania projektem (czynności związane z wykonywaniem obowiązków beneficjenta wobec IZ, w tym np. wydatki związane z wyborem wykonawców, bieżącą obsługą projektu, rozliczeniami i monitorowaniem efektów projektu, itd.) </w:t>
      </w:r>
      <w:bookmarkStart w:id="19" w:name="_Hlk127880336"/>
      <w:r w:rsidRPr="00035332">
        <w:rPr>
          <w:rFonts w:ascii="Arial" w:hAnsi="Arial" w:cs="Arial"/>
        </w:rPr>
        <w:t>jako koszt bezpośredni projektu</w:t>
      </w:r>
      <w:bookmarkEnd w:id="19"/>
      <w:r w:rsidRPr="00035332">
        <w:rPr>
          <w:rFonts w:ascii="Arial" w:hAnsi="Arial" w:cs="Arial"/>
        </w:rPr>
        <w:t>,</w:t>
      </w:r>
    </w:p>
    <w:p w14:paraId="11D046F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wydatki związane z promocją projektu jako koszt bezpośredni projektu,</w:t>
      </w:r>
    </w:p>
    <w:p w14:paraId="7E3F7AEC" w14:textId="01721CCD" w:rsidR="002F356D" w:rsidRPr="002F356D" w:rsidRDefault="002F356D" w:rsidP="00EE5ED3">
      <w:pPr>
        <w:pStyle w:val="Akapitzlist"/>
        <w:numPr>
          <w:ilvl w:val="0"/>
          <w:numId w:val="34"/>
        </w:numPr>
        <w:spacing w:line="276" w:lineRule="auto"/>
        <w:ind w:left="426" w:hanging="436"/>
        <w:jc w:val="left"/>
        <w:rPr>
          <w:rFonts w:ascii="Arial" w:hAnsi="Arial" w:cs="Arial"/>
        </w:rPr>
      </w:pPr>
      <w:r w:rsidRPr="00035332">
        <w:rPr>
          <w:rFonts w:ascii="ArialMT" w:hAnsi="ArialMT" w:cs="ArialMT"/>
          <w:lang w:eastAsia="zh-TW"/>
        </w:rPr>
        <w:lastRenderedPageBreak/>
        <w:t>premia dla autora lub współautora dokumentacji aplikacyjnej z tytułu otrzymania dofinansowania przez wnioskodawcę</w:t>
      </w:r>
      <w:r>
        <w:rPr>
          <w:rFonts w:ascii="ArialMT" w:hAnsi="ArialMT" w:cs="ArialMT"/>
          <w:lang w:eastAsia="zh-TW"/>
        </w:rPr>
        <w:t>,</w:t>
      </w:r>
    </w:p>
    <w:bookmarkEnd w:id="16"/>
    <w:p w14:paraId="068D1061" w14:textId="5C09FA55" w:rsid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zakup sprzętu teleinformatycznego na potrzeby uczniów i studentów,</w:t>
      </w:r>
    </w:p>
    <w:p w14:paraId="54DB926C" w14:textId="5A63F1F1" w:rsidR="002F356D" w:rsidRP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kursy i szkolenia dla interesariuszy usług i grup docelowych (np. w zakresie e-administracji: kursy i szkolenia dla mieszkańców).</w:t>
      </w:r>
    </w:p>
    <w:p w14:paraId="5B180B72" w14:textId="77777777" w:rsidR="002C4478" w:rsidRDefault="002C4478" w:rsidP="00030580">
      <w:pPr>
        <w:suppressAutoHyphens w:val="0"/>
        <w:spacing w:line="276" w:lineRule="auto"/>
        <w:jc w:val="left"/>
        <w:rPr>
          <w:rFonts w:ascii="Arial" w:hAnsi="Arial" w:cs="Arial"/>
          <w:b/>
          <w:color w:val="7030A0"/>
        </w:rPr>
      </w:pPr>
      <w:r>
        <w:rPr>
          <w:rFonts w:ascii="Arial" w:hAnsi="Arial" w:cs="Arial"/>
          <w:b/>
          <w:color w:val="7030A0"/>
        </w:rPr>
        <w:br w:type="page"/>
      </w:r>
    </w:p>
    <w:p w14:paraId="5BDFFEC1" w14:textId="36AEE726" w:rsidR="007F56E2" w:rsidRPr="00EA7C5E" w:rsidRDefault="007F56E2" w:rsidP="00030580">
      <w:pPr>
        <w:pStyle w:val="Nagwek2"/>
        <w:numPr>
          <w:ilvl w:val="0"/>
          <w:numId w:val="0"/>
        </w:numPr>
        <w:spacing w:before="0" w:after="240" w:line="276" w:lineRule="auto"/>
        <w:ind w:left="360" w:hanging="360"/>
        <w:rPr>
          <w:color w:val="7030A0"/>
          <w:sz w:val="24"/>
          <w:szCs w:val="24"/>
        </w:rPr>
      </w:pPr>
      <w:bookmarkStart w:id="20" w:name="_Toc129602551"/>
      <w:r w:rsidRPr="00EA7C5E">
        <w:rPr>
          <w:color w:val="7030A0"/>
          <w:sz w:val="24"/>
          <w:szCs w:val="24"/>
        </w:rPr>
        <w:lastRenderedPageBreak/>
        <w:t xml:space="preserve">1.3 </w:t>
      </w:r>
      <w:r w:rsidR="00242417">
        <w:rPr>
          <w:color w:val="7030A0"/>
          <w:sz w:val="24"/>
          <w:szCs w:val="24"/>
        </w:rPr>
        <w:t xml:space="preserve">Działanie 1.3 </w:t>
      </w:r>
      <w:r w:rsidRPr="00EA7C5E">
        <w:rPr>
          <w:color w:val="7030A0"/>
          <w:sz w:val="24"/>
          <w:szCs w:val="24"/>
        </w:rPr>
        <w:t>Wsparcie MŚP</w:t>
      </w:r>
      <w:r w:rsidR="000054CC">
        <w:rPr>
          <w:color w:val="7030A0"/>
          <w:sz w:val="24"/>
          <w:szCs w:val="24"/>
        </w:rPr>
        <w:t xml:space="preserve"> - dotacja</w:t>
      </w:r>
      <w:bookmarkEnd w:id="20"/>
    </w:p>
    <w:p w14:paraId="47AAFDC2" w14:textId="413ACCB9" w:rsidR="004A7B03" w:rsidRPr="00F83561" w:rsidRDefault="00E7250B" w:rsidP="00030580">
      <w:pPr>
        <w:pStyle w:val="Nagwek3"/>
        <w:spacing w:before="0" w:after="240" w:line="276" w:lineRule="auto"/>
        <w:rPr>
          <w:rFonts w:eastAsia="Calibri" w:cs="Arial"/>
          <w:b/>
          <w:bCs/>
          <w:color w:val="0070C0"/>
          <w:lang w:eastAsia="en-US"/>
        </w:rPr>
      </w:pPr>
      <w:bookmarkStart w:id="21" w:name="_Toc129602552"/>
      <w:r>
        <w:rPr>
          <w:rFonts w:eastAsia="Calibri" w:cs="Arial"/>
          <w:b/>
          <w:bCs/>
          <w:color w:val="0070C0"/>
          <w:lang w:eastAsia="en-US"/>
        </w:rPr>
        <w:t xml:space="preserve">1.3.1 </w:t>
      </w:r>
      <w:r w:rsidR="00C8482E" w:rsidRPr="00F83561">
        <w:rPr>
          <w:rFonts w:eastAsia="Calibri" w:cs="Arial"/>
          <w:b/>
          <w:bCs/>
          <w:color w:val="0070C0"/>
          <w:lang w:eastAsia="en-US"/>
        </w:rPr>
        <w:t>WDROŻENIE PRAC B+R, INNOWACJI PRZEZ MŚP</w:t>
      </w:r>
      <w:bookmarkEnd w:id="21"/>
    </w:p>
    <w:p w14:paraId="7071652F" w14:textId="77777777" w:rsidR="00357261" w:rsidRDefault="00357261" w:rsidP="00030580">
      <w:pPr>
        <w:spacing w:after="240" w:line="276" w:lineRule="auto"/>
        <w:jc w:val="left"/>
        <w:rPr>
          <w:rFonts w:ascii="Arial" w:eastAsia="Calibri" w:hAnsi="Arial" w:cs="Arial"/>
          <w:b/>
          <w:lang w:eastAsia="en-US"/>
        </w:rPr>
      </w:pPr>
      <w:r>
        <w:rPr>
          <w:rFonts w:ascii="Arial" w:eastAsia="Calibri" w:hAnsi="Arial" w:cs="Arial"/>
          <w:b/>
          <w:lang w:eastAsia="en-US"/>
        </w:rPr>
        <w:t xml:space="preserve">Katalog wydatków kwalifikowalnych jest </w:t>
      </w:r>
      <w:r>
        <w:rPr>
          <w:rFonts w:ascii="Arial" w:eastAsia="Calibri" w:hAnsi="Arial" w:cs="Arial"/>
          <w:b/>
          <w:u w:val="single"/>
          <w:lang w:eastAsia="en-US"/>
        </w:rPr>
        <w:t>katalogiem zamkniętym</w:t>
      </w:r>
      <w:r>
        <w:rPr>
          <w:rFonts w:ascii="Arial" w:eastAsia="Calibri" w:hAnsi="Arial" w:cs="Arial"/>
          <w:b/>
          <w:lang w:eastAsia="en-US"/>
        </w:rPr>
        <w:t xml:space="preserve"> i obejmuje:</w:t>
      </w:r>
    </w:p>
    <w:p w14:paraId="46614420" w14:textId="1BAE98AE" w:rsidR="00357261" w:rsidRDefault="00357261" w:rsidP="00EE5ED3">
      <w:pPr>
        <w:pStyle w:val="Akapitzlist"/>
        <w:numPr>
          <w:ilvl w:val="0"/>
          <w:numId w:val="30"/>
        </w:numPr>
        <w:spacing w:line="276" w:lineRule="auto"/>
        <w:jc w:val="left"/>
        <w:textAlignment w:val="auto"/>
        <w:rPr>
          <w:rFonts w:ascii="Arial" w:eastAsia="Calibri" w:hAnsi="Arial" w:cs="Arial"/>
          <w:u w:val="single"/>
          <w:lang w:eastAsia="en-US"/>
        </w:rPr>
      </w:pPr>
      <w:r>
        <w:rPr>
          <w:rFonts w:ascii="Arial" w:eastAsia="Calibri" w:hAnsi="Arial" w:cs="Arial"/>
          <w:lang w:eastAsia="en-US"/>
        </w:rPr>
        <w:t>nabycie nowych środków trwałych na stałe zainstalowanych w projekcie i ściśle związanych z realizacją projektu pod warunkiem, że środki te będą włączone w</w:t>
      </w:r>
      <w:r w:rsidR="00030580">
        <w:rPr>
          <w:rFonts w:ascii="Arial" w:eastAsia="Calibri" w:hAnsi="Arial" w:cs="Arial"/>
          <w:lang w:eastAsia="en-US"/>
        </w:rPr>
        <w:t xml:space="preserve"> </w:t>
      </w:r>
      <w:r>
        <w:rPr>
          <w:rFonts w:ascii="Arial" w:eastAsia="Calibri" w:hAnsi="Arial" w:cs="Arial"/>
          <w:lang w:eastAsia="en-US"/>
        </w:rPr>
        <w:t xml:space="preserve">rejestr środków trwałych beneficjenta oraz wydatki te będą traktowane jako wydatek inwestycyjny zgodnie z zasadami rachunkowości </w:t>
      </w:r>
      <w:r>
        <w:rPr>
          <w:rFonts w:ascii="Arial" w:eastAsia="Calibri" w:hAnsi="Arial" w:cs="Arial"/>
          <w:u w:val="single"/>
          <w:lang w:eastAsia="en-US"/>
        </w:rPr>
        <w:t xml:space="preserve">o ile środek trwały nie jest: </w:t>
      </w:r>
    </w:p>
    <w:p w14:paraId="1C7F65A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gruntem (nr 0 według Klasyfikacji Środków Trwałych); </w:t>
      </w:r>
    </w:p>
    <w:p w14:paraId="5E6C86D2"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budynkiem i lokalem, spółdzielczym własnościowym prawem do lokalu mieszkalnego oraz spółdzielczym prawem do lokalu niemieszkalnego (nr 1 według Klasyfikacji Środków Trwałych); </w:t>
      </w:r>
    </w:p>
    <w:p w14:paraId="047D127D"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środkiem transportu (nr 7 według Klasyfikacji Środków Trwałych); </w:t>
      </w:r>
    </w:p>
    <w:p w14:paraId="4D3B03FA"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do robót ziemnych, budowlanych i drogowych (nr 58 według Klasyfikacji Środków Trwałych); </w:t>
      </w:r>
    </w:p>
    <w:p w14:paraId="6C145AF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urządzeniem i narzędziem rolniczym i gospodarki leśnej (nr 59 według Klasyfikacji Środków Trwałych); </w:t>
      </w:r>
    </w:p>
    <w:p w14:paraId="63F3C5EC"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aparatem i sprzętem medycznym (nr 802 według Klasyfikacji Środków Trwałych); </w:t>
      </w:r>
    </w:p>
    <w:p w14:paraId="19FCCE1F"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technicznym dla prac biurowych (nr 803 według Klasyfikacji Środków Trwałych); </w:t>
      </w:r>
    </w:p>
    <w:p w14:paraId="127C3782" w14:textId="2B4631C9"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narzędziem, przyrządem, ruchomością i wyposażeniem pozostałym (nr 809 według Klasyfikacji Środków Trwałych)</w:t>
      </w:r>
      <w:r w:rsidR="00931114">
        <w:rPr>
          <w:rFonts w:ascii="Arial" w:eastAsia="Calibri" w:hAnsi="Arial" w:cs="Arial"/>
          <w:lang w:eastAsia="en-US"/>
        </w:rPr>
        <w:t>;</w:t>
      </w:r>
    </w:p>
    <w:p w14:paraId="426A2B33" w14:textId="77777777" w:rsidR="00357261" w:rsidRDefault="00357261" w:rsidP="00EE5ED3">
      <w:pPr>
        <w:pStyle w:val="Akapitzlist"/>
        <w:numPr>
          <w:ilvl w:val="0"/>
          <w:numId w:val="30"/>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nabycie wartości niematerialnych i prawnych m.in. w formie patentów, licencji, praw autorskich, pod warunkiem, że będą: </w:t>
      </w:r>
    </w:p>
    <w:p w14:paraId="7E082D7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wykorzystywane wyłącznie przez nabywcę; </w:t>
      </w:r>
    </w:p>
    <w:p w14:paraId="1AC57505"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podlegać amortyzacji; </w:t>
      </w:r>
    </w:p>
    <w:p w14:paraId="2426F03F"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nabyte od osoby trzeciej na warunkach rynkowych; </w:t>
      </w:r>
    </w:p>
    <w:p w14:paraId="04DB79E8" w14:textId="3600194D"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stanowiły majątek beneficjenta</w:t>
      </w:r>
      <w:r w:rsidR="00931114">
        <w:rPr>
          <w:rFonts w:ascii="Arial" w:eastAsia="Calibri" w:hAnsi="Arial" w:cs="Arial"/>
          <w:lang w:eastAsia="en-US"/>
        </w:rPr>
        <w:t>;</w:t>
      </w:r>
      <w:r>
        <w:rPr>
          <w:rFonts w:ascii="Arial" w:eastAsia="Calibri" w:hAnsi="Arial" w:cs="Arial"/>
          <w:lang w:eastAsia="en-US"/>
        </w:rPr>
        <w:t xml:space="preserve"> </w:t>
      </w:r>
    </w:p>
    <w:p w14:paraId="72E064A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zostanie zachowany okres trwałości;</w:t>
      </w:r>
    </w:p>
    <w:p w14:paraId="2582AE1E" w14:textId="7ABF65BA" w:rsidR="00357261" w:rsidRDefault="00357261" w:rsidP="00EE5ED3">
      <w:pPr>
        <w:pStyle w:val="Akapitzlist"/>
        <w:numPr>
          <w:ilvl w:val="0"/>
          <w:numId w:val="30"/>
        </w:numPr>
        <w:spacing w:after="240" w:line="276" w:lineRule="auto"/>
        <w:ind w:left="714" w:hanging="357"/>
        <w:jc w:val="left"/>
        <w:textAlignment w:val="auto"/>
        <w:rPr>
          <w:rFonts w:ascii="Arial" w:eastAsia="Calibri" w:hAnsi="Arial" w:cs="Arial"/>
          <w:lang w:eastAsia="en-US"/>
        </w:rPr>
      </w:pPr>
      <w:r>
        <w:rPr>
          <w:rFonts w:ascii="Arial" w:eastAsia="Calibri" w:hAnsi="Arial" w:cs="Arial"/>
          <w:lang w:eastAsia="en-US"/>
        </w:rPr>
        <w:t xml:space="preserve">nabycie usług doradczych bezpośrednio związanych z projektem – niemających charakteru ciągłego ani okresowego, niezwiązanych ze zwykłymi kosztami operacyjnymi przedsiębiorstwa, takimi jak rutynowe usługi doradztwa podatkowego, regularne usługi prawnicze, reklamowe lub marketingowe. </w:t>
      </w:r>
      <w:bookmarkStart w:id="22" w:name="_Hlk121401796"/>
      <w:r>
        <w:rPr>
          <w:rFonts w:ascii="Arial" w:eastAsia="Calibri" w:hAnsi="Arial" w:cs="Arial"/>
          <w:lang w:eastAsia="en-US"/>
        </w:rPr>
        <w:t xml:space="preserve">Łączna kwota wydatków kwalifikowanych przeznaczonych na nabycie usług doradczych nie może przekroczyć 100 </w:t>
      </w:r>
      <w:r w:rsidR="003456ED">
        <w:rPr>
          <w:rFonts w:ascii="Arial" w:eastAsia="Calibri" w:hAnsi="Arial" w:cs="Arial"/>
          <w:lang w:eastAsia="en-US"/>
        </w:rPr>
        <w:t>000</w:t>
      </w:r>
      <w:r>
        <w:rPr>
          <w:rFonts w:ascii="Arial" w:eastAsia="Calibri" w:hAnsi="Arial" w:cs="Arial"/>
          <w:lang w:eastAsia="en-US"/>
        </w:rPr>
        <w:t xml:space="preserve"> PLN. </w:t>
      </w:r>
      <w:bookmarkEnd w:id="22"/>
    </w:p>
    <w:p w14:paraId="304F831E" w14:textId="77777777" w:rsidR="00357261" w:rsidRDefault="00357261" w:rsidP="00030580">
      <w:pPr>
        <w:spacing w:after="240" w:line="276" w:lineRule="auto"/>
        <w:jc w:val="left"/>
        <w:rPr>
          <w:rFonts w:ascii="Arial" w:eastAsia="Calibri" w:hAnsi="Arial" w:cs="Arial"/>
          <w:b/>
          <w:lang w:eastAsia="en-US"/>
        </w:rPr>
      </w:pPr>
      <w:r>
        <w:rPr>
          <w:rFonts w:ascii="Arial" w:eastAsia="Calibri" w:hAnsi="Arial" w:cs="Arial"/>
          <w:b/>
          <w:lang w:eastAsia="en-US"/>
        </w:rPr>
        <w:t xml:space="preserve">Wydatki niekwalifikowalne stanowią wydatki niewyszczególnione w wydatkach kwalifikowalnych. Poniżej wskazano przykłady wydatków niekwalifikowalnych: </w:t>
      </w:r>
    </w:p>
    <w:p w14:paraId="6118897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na nabycie robót i materiałów budowlanych związane z budową, rozbudową oraz remontem pomieszczeń obiektów budowlanych, budowli i lokali, </w:t>
      </w:r>
      <w:r>
        <w:rPr>
          <w:rFonts w:ascii="Arial" w:eastAsia="Calibri" w:hAnsi="Arial" w:cs="Arial"/>
          <w:lang w:eastAsia="en-US"/>
        </w:rPr>
        <w:lastRenderedPageBreak/>
        <w:t>za wyjątkiem wydatków, które zwiększają wartość początkową zakupionych w ramach projektu maszyn i urządzeń, a związane są z technologicznymi wymaganiami maszyn/urządzeń i są niezbędne w celu spełnienia wymogów koniecznych dla funkcjonowania projektu (np. fundamenty pod maszynę);</w:t>
      </w:r>
    </w:p>
    <w:p w14:paraId="055D68BB"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nieruchomości (zabudowanej i niezabudowanej, w tym grunty), nabycie prawa użytkowania wieczystego lub innych tytułów prawnych do nieruchomości;</w:t>
      </w:r>
    </w:p>
    <w:p w14:paraId="6B8775A5"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używanych środków trwałych;</w:t>
      </w:r>
    </w:p>
    <w:p w14:paraId="46B91F1F"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środków transportu;</w:t>
      </w:r>
    </w:p>
    <w:p w14:paraId="46EBBC8E"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materiałów biurowych i eksploatacyjnych;</w:t>
      </w:r>
    </w:p>
    <w:p w14:paraId="5CAD7AB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nabycie usług szkoleniowych z wyłączeniem instruktażu związanego z zakupem środków trwałych; </w:t>
      </w:r>
    </w:p>
    <w:p w14:paraId="06488962"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dokumentację konkursową niezbędną do przygotowania projektu wraz z załącznikami (m.in.: biznesplan, raport oddziaływania na środowisko, operat szacunkowy); </w:t>
      </w:r>
    </w:p>
    <w:p w14:paraId="27CB271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faktoring;</w:t>
      </w:r>
    </w:p>
    <w:p w14:paraId="37A7FA9F"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działania </w:t>
      </w:r>
      <w:proofErr w:type="spellStart"/>
      <w:r>
        <w:rPr>
          <w:rFonts w:ascii="Arial" w:eastAsia="Calibri" w:hAnsi="Arial" w:cs="Arial"/>
          <w:lang w:eastAsia="en-US"/>
        </w:rPr>
        <w:t>informacyjno</w:t>
      </w:r>
      <w:proofErr w:type="spellEnd"/>
      <w:r>
        <w:rPr>
          <w:rFonts w:ascii="Arial" w:eastAsia="Calibri" w:hAnsi="Arial" w:cs="Arial"/>
          <w:lang w:eastAsia="en-US"/>
        </w:rPr>
        <w:t xml:space="preserve"> – promocyjne, w tym wydatki na reklamę i marketing;</w:t>
      </w:r>
    </w:p>
    <w:p w14:paraId="4246680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wydatki związane z bieżącą działalnością firmy (koszty ogólne);</w:t>
      </w:r>
    </w:p>
    <w:p w14:paraId="2210915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koszty osobowe – wynagrodzenia;</w:t>
      </w:r>
    </w:p>
    <w:p w14:paraId="70A5233A"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podatek VAT, również w przypadku braku prawnej możliwości jego odzyskania na gruncie prawodawstwa krajowego;</w:t>
      </w:r>
    </w:p>
    <w:p w14:paraId="0A4559BD" w14:textId="291BB4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nabycia usług doradczych mających charakter ciągły lub okresowy, które są związane ze zwykłymi kosztami operacyjnymi przedsiębiorstwa, takimi jak rutynowe usługi doradztwa podatkowego, regularne usługi prawnicze, reklamowe, marketingowe;</w:t>
      </w:r>
    </w:p>
    <w:p w14:paraId="21907045" w14:textId="777777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usługi projektowania i tworzenia stron internetowych;</w:t>
      </w:r>
    </w:p>
    <w:p w14:paraId="3D2FBAEB" w14:textId="777777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uzyskania decyzji administracyjnych;</w:t>
      </w:r>
    </w:p>
    <w:p w14:paraId="6B229785" w14:textId="77777777" w:rsidR="00357261" w:rsidRDefault="00357261" w:rsidP="00EE5ED3">
      <w:pPr>
        <w:numPr>
          <w:ilvl w:val="0"/>
          <w:numId w:val="33"/>
        </w:numPr>
        <w:spacing w:after="240"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określone jako niekwalifikowane w </w:t>
      </w:r>
      <w:r>
        <w:rPr>
          <w:rFonts w:ascii="Arial" w:eastAsia="Calibri" w:hAnsi="Arial" w:cs="Arial"/>
          <w:i/>
          <w:lang w:eastAsia="en-US"/>
        </w:rPr>
        <w:t>Wytycznych dotyczących kwalifikowalności wydatków na lata 2021-2027</w:t>
      </w:r>
      <w:r>
        <w:rPr>
          <w:rFonts w:ascii="Arial" w:eastAsia="Calibri" w:hAnsi="Arial" w:cs="Arial"/>
          <w:lang w:eastAsia="en-US"/>
        </w:rPr>
        <w:t>.</w:t>
      </w:r>
    </w:p>
    <w:p w14:paraId="353EC320" w14:textId="194C18A3" w:rsidR="004A7B03" w:rsidRPr="00F83561" w:rsidRDefault="00E7250B" w:rsidP="00030580">
      <w:pPr>
        <w:pStyle w:val="Nagwek3"/>
        <w:spacing w:before="0" w:after="240" w:line="276" w:lineRule="auto"/>
        <w:jc w:val="left"/>
        <w:rPr>
          <w:rFonts w:cs="Arial"/>
          <w:color w:val="0070C0"/>
        </w:rPr>
      </w:pPr>
      <w:bookmarkStart w:id="23" w:name="_Toc129602553"/>
      <w:r>
        <w:rPr>
          <w:rFonts w:eastAsia="Calibri" w:cs="Arial"/>
          <w:b/>
          <w:bCs/>
          <w:color w:val="0070C0"/>
          <w:lang w:eastAsia="en-US"/>
        </w:rPr>
        <w:t xml:space="preserve">1.3.2 </w:t>
      </w:r>
      <w:r w:rsidR="00C8482E" w:rsidRPr="00F83561">
        <w:rPr>
          <w:rFonts w:eastAsia="Calibri" w:cs="Arial"/>
          <w:b/>
          <w:bCs/>
          <w:color w:val="0070C0"/>
          <w:lang w:eastAsia="en-US"/>
        </w:rPr>
        <w:t>WSPARCIE ROZWOJU I KONKURENCYJNOŚCI MŚP W FORMIE DOTACJI</w:t>
      </w:r>
      <w:bookmarkEnd w:id="23"/>
    </w:p>
    <w:p w14:paraId="3687E2D1" w14:textId="77777777" w:rsidR="00357261" w:rsidRPr="00357261" w:rsidRDefault="00357261" w:rsidP="00030580">
      <w:pPr>
        <w:spacing w:after="240" w:line="276" w:lineRule="auto"/>
        <w:jc w:val="left"/>
        <w:rPr>
          <w:rFonts w:ascii="Arial" w:hAnsi="Arial" w:cs="Arial"/>
          <w:b/>
          <w:lang w:eastAsia="en-US"/>
        </w:rPr>
      </w:pPr>
      <w:r w:rsidRPr="00357261">
        <w:rPr>
          <w:rFonts w:ascii="Arial" w:hAnsi="Arial" w:cs="Arial"/>
          <w:b/>
        </w:rPr>
        <w:t xml:space="preserve">Katalog wydatków kwalifikowalnych jest </w:t>
      </w:r>
      <w:r w:rsidRPr="00357261">
        <w:rPr>
          <w:rFonts w:ascii="Arial" w:hAnsi="Arial" w:cs="Arial"/>
          <w:b/>
          <w:u w:val="single"/>
        </w:rPr>
        <w:t>katalogiem zamkniętym</w:t>
      </w:r>
      <w:r w:rsidRPr="00357261">
        <w:rPr>
          <w:rFonts w:ascii="Arial" w:hAnsi="Arial" w:cs="Arial"/>
          <w:b/>
        </w:rPr>
        <w:t xml:space="preserve"> i obejmuje:</w:t>
      </w:r>
    </w:p>
    <w:p w14:paraId="161545FE" w14:textId="77777777" w:rsidR="00357261" w:rsidRPr="00357261" w:rsidRDefault="00357261" w:rsidP="00030580">
      <w:pPr>
        <w:pStyle w:val="Default"/>
        <w:spacing w:line="276" w:lineRule="auto"/>
        <w:rPr>
          <w:rFonts w:ascii="Arial" w:hAnsi="Arial" w:cs="Arial"/>
        </w:rPr>
      </w:pPr>
      <w:r w:rsidRPr="00357261">
        <w:rPr>
          <w:rFonts w:ascii="Arial" w:hAnsi="Arial" w:cs="Arial"/>
        </w:rPr>
        <w:t>1. roboty budowlane – wyłącznie pod warunkiem, że są niezbędne do prawidłowej realizacji i osiągnięcia celu projektu oraz mają charakter inwestycyjny i są realizowane w oparciu o umowę na roboty budowlane</w:t>
      </w:r>
      <w:r w:rsidRPr="00357261">
        <w:rPr>
          <w:rStyle w:val="Odwoanieprzypisudolnego"/>
          <w:rFonts w:ascii="Arial" w:hAnsi="Arial" w:cs="Arial"/>
        </w:rPr>
        <w:footnoteReference w:id="2"/>
      </w:r>
      <w:r w:rsidRPr="00357261">
        <w:rPr>
          <w:rFonts w:ascii="Arial" w:hAnsi="Arial" w:cs="Arial"/>
        </w:rPr>
        <w:t xml:space="preserve">; </w:t>
      </w:r>
    </w:p>
    <w:p w14:paraId="492AE17D"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2. nabycie nowych środków trwałych na stałe zainstalowanych w projekcie i ściśle związanych z realizacją projektu pod warunkiem, że środki te będą włączone w </w:t>
      </w:r>
      <w:r w:rsidRPr="00357261">
        <w:rPr>
          <w:rFonts w:ascii="Arial" w:hAnsi="Arial" w:cs="Arial"/>
        </w:rPr>
        <w:lastRenderedPageBreak/>
        <w:t xml:space="preserve">rejestr środków trwałych beneficjenta oraz wydatki te będą traktowane jako wydatek inwestycyjny zgodnie z zasadami rachunkowości, </w:t>
      </w:r>
      <w:r w:rsidRPr="00357261">
        <w:rPr>
          <w:rFonts w:ascii="Arial" w:hAnsi="Arial" w:cs="Arial"/>
          <w:b/>
          <w:bCs/>
        </w:rPr>
        <w:t>o ile środek trwały nie jest</w:t>
      </w:r>
      <w:r w:rsidRPr="00357261">
        <w:rPr>
          <w:rFonts w:ascii="Arial" w:hAnsi="Arial" w:cs="Arial"/>
        </w:rPr>
        <w:t xml:space="preserve">: </w:t>
      </w:r>
    </w:p>
    <w:p w14:paraId="0D194571"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gruntem (nr 0 według Klasyfikacji Środków Trwałych); </w:t>
      </w:r>
    </w:p>
    <w:p w14:paraId="1D89A90A"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budynkiem i lokalem, spółdzielczym własnościowym prawem do lokalu mieszkalnego oraz spółdzielczym prawem do lokalu niemieszkalnego (nr 1 według Klasyfikacji Środków Trwałych); </w:t>
      </w:r>
    </w:p>
    <w:p w14:paraId="4526A5D2"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środkiem transportu z grupy 74 z wyjątkiem symbolu 743 Klasyfikacji Środków Trwałych;</w:t>
      </w:r>
    </w:p>
    <w:p w14:paraId="76B4442D"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maszyną, urządzeniem i narzędziem rolniczym i gospodarki leśnej (nr 59 według Klasyfikacji Środków Trwałych); </w:t>
      </w:r>
    </w:p>
    <w:p w14:paraId="7CA858D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eastAsia="Calibri" w:hAnsi="Arial" w:cs="Arial"/>
        </w:rPr>
        <w:t>maszyną do robót ziemnych, budowlanych i drogowych</w:t>
      </w:r>
      <w:r w:rsidRPr="00357261">
        <w:rPr>
          <w:rFonts w:ascii="Arial" w:hAnsi="Arial" w:cs="Arial"/>
        </w:rPr>
        <w:t xml:space="preserve"> (nr 58 według Klasyfikacji Środków Trwałych); </w:t>
      </w:r>
    </w:p>
    <w:p w14:paraId="61656940"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wyposażeniem, aparatem i sprzętem medycznym (nr 802 według Klasyfikacji Środków Trwałych); </w:t>
      </w:r>
    </w:p>
    <w:p w14:paraId="0A83B629" w14:textId="77777777" w:rsidR="00357261" w:rsidRPr="00357261" w:rsidRDefault="00357261" w:rsidP="004D1AED">
      <w:pPr>
        <w:pStyle w:val="Akapitzlist"/>
        <w:numPr>
          <w:ilvl w:val="0"/>
          <w:numId w:val="28"/>
        </w:numPr>
        <w:suppressAutoHyphens w:val="0"/>
        <w:autoSpaceDN/>
        <w:spacing w:line="276" w:lineRule="auto"/>
        <w:ind w:left="714" w:hanging="357"/>
        <w:contextualSpacing/>
        <w:jc w:val="left"/>
        <w:textAlignment w:val="auto"/>
        <w:rPr>
          <w:rFonts w:ascii="Arial" w:hAnsi="Arial" w:cs="Arial"/>
        </w:rPr>
      </w:pPr>
      <w:r w:rsidRPr="00357261">
        <w:rPr>
          <w:rFonts w:ascii="Arial" w:hAnsi="Arial" w:cs="Arial"/>
        </w:rPr>
        <w:t>wyposażeniem technicznym dla prac biurowych (nr 803 według Klasyfikacji Środków Trwałych);</w:t>
      </w:r>
    </w:p>
    <w:p w14:paraId="79F00AAC"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3. nabycie wartości niematerialnych i prawnych m.in. w formie patentów, licencji oraz praw autorskich, pod warunkiem, że będą: </w:t>
      </w:r>
    </w:p>
    <w:p w14:paraId="08D66924"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wykorzystywane wyłącznie przez nabywcę; </w:t>
      </w:r>
    </w:p>
    <w:p w14:paraId="248C38E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podlegać amortyzacji; </w:t>
      </w:r>
    </w:p>
    <w:p w14:paraId="32700A47"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nabyte od osoby trzeciej na warunkach rynkowych; </w:t>
      </w:r>
    </w:p>
    <w:p w14:paraId="0F471226"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stanowiły majątek beneficjenta;</w:t>
      </w:r>
    </w:p>
    <w:p w14:paraId="348FF2CE" w14:textId="30C41AED" w:rsidR="00357261" w:rsidRPr="00357261" w:rsidRDefault="00357261" w:rsidP="00EE5ED3">
      <w:pPr>
        <w:pStyle w:val="Default"/>
        <w:numPr>
          <w:ilvl w:val="0"/>
          <w:numId w:val="28"/>
        </w:numPr>
        <w:suppressAutoHyphens w:val="0"/>
        <w:adjustRightInd w:val="0"/>
        <w:spacing w:after="240" w:line="276" w:lineRule="auto"/>
        <w:textAlignment w:val="auto"/>
        <w:rPr>
          <w:rFonts w:ascii="Arial" w:hAnsi="Arial" w:cs="Arial"/>
        </w:rPr>
      </w:pPr>
      <w:r w:rsidRPr="00357261">
        <w:rPr>
          <w:rFonts w:ascii="Arial" w:hAnsi="Arial" w:cs="Arial"/>
        </w:rPr>
        <w:t>zostanie zachowany okres trwałości</w:t>
      </w:r>
      <w:r w:rsidR="00931114">
        <w:rPr>
          <w:rFonts w:ascii="Arial" w:hAnsi="Arial" w:cs="Arial"/>
        </w:rPr>
        <w:t>.</w:t>
      </w:r>
      <w:r w:rsidRPr="00357261">
        <w:rPr>
          <w:rFonts w:ascii="Arial" w:hAnsi="Arial" w:cs="Arial"/>
        </w:rPr>
        <w:t xml:space="preserve"> </w:t>
      </w:r>
    </w:p>
    <w:p w14:paraId="0347E18A" w14:textId="0C5014FB" w:rsidR="00357261" w:rsidRPr="00357261" w:rsidRDefault="00357261" w:rsidP="00030580">
      <w:pPr>
        <w:spacing w:after="240" w:line="276" w:lineRule="auto"/>
        <w:jc w:val="left"/>
        <w:rPr>
          <w:rFonts w:ascii="Arial" w:hAnsi="Arial" w:cs="Arial"/>
          <w:b/>
        </w:rPr>
      </w:pPr>
      <w:r w:rsidRPr="00357261">
        <w:rPr>
          <w:rFonts w:ascii="Arial" w:hAnsi="Arial" w:cs="Arial"/>
          <w:b/>
        </w:rPr>
        <w:t>Wydatki niekwalifikowalne stanowią wydatki niewyszczególnione w wydatkach kwalifikowalnych. Poniżej wskazano przykłady wydatków niekwalifikowalnych:</w:t>
      </w:r>
    </w:p>
    <w:p w14:paraId="77A42AD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wykonywane systemem gospodarczym; </w:t>
      </w:r>
    </w:p>
    <w:p w14:paraId="700BA34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dodatkowe i uzupełniające; </w:t>
      </w:r>
    </w:p>
    <w:p w14:paraId="0983448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związane z remontem budynków; </w:t>
      </w:r>
    </w:p>
    <w:p w14:paraId="0BE93E1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nabycie nieruchomości, prawa użytkowania wieczystego lub innych tytułów prawnych do nieruchomości;</w:t>
      </w:r>
    </w:p>
    <w:p w14:paraId="0DFF0D8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nabycie używanych środków trwałych; </w:t>
      </w:r>
    </w:p>
    <w:p w14:paraId="0CB60D5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nabycie środków transportu (nr 740 do 742, 744 do 747 według Klasyfikacji Środków Trwałych);</w:t>
      </w:r>
    </w:p>
    <w:p w14:paraId="3F29B5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dokumentację niezbędną do przygotowania projektu (m.in.: biznesplan, raport oddziaływania na środowisko, operat szacunkowy);</w:t>
      </w:r>
    </w:p>
    <w:p w14:paraId="3E17025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usług szkoleniowych z wyłączeniem instruktażu związanego z obsługą zakupionych środków trwałych; </w:t>
      </w:r>
    </w:p>
    <w:p w14:paraId="13C0A7E8"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t>wydatki poniesione na działania informacyjno-promocyjne, w tym wydatki na reklamę i marketing;</w:t>
      </w:r>
    </w:p>
    <w:p w14:paraId="60F637E3"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lastRenderedPageBreak/>
        <w:t>wydatki poniesione na zakup usług doradczych;</w:t>
      </w:r>
    </w:p>
    <w:p w14:paraId="60CAD9AD"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faktoring; </w:t>
      </w:r>
    </w:p>
    <w:p w14:paraId="610DB65C"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materiałów biurowych i eksploatacyjnych; </w:t>
      </w:r>
    </w:p>
    <w:p w14:paraId="6619D29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uzyskania decyzji administracyjnych, opłaty administracyjne; </w:t>
      </w:r>
    </w:p>
    <w:p w14:paraId="07AFFB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związane z bieżącą działalnością firmy (koszty ogólne); </w:t>
      </w:r>
    </w:p>
    <w:p w14:paraId="05424E3A"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osobowe – wynagrodzenia; </w:t>
      </w:r>
    </w:p>
    <w:p w14:paraId="5BBFB8BF"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koszty usług projektowania i tworzenia stron internetowych;</w:t>
      </w:r>
    </w:p>
    <w:p w14:paraId="651F61A2" w14:textId="486A1BAD"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opracowania dokumentacji związanej z udzieleniem przez beneficjenta zamówienia robót budowlanych/usług/dostaw w ramach projektu (tj. niekwalifikowalne są koszty opracowania projektu SIWZ, projektu ogłoszenia, wzoru umowy z wykonawcą i inne); </w:t>
      </w:r>
    </w:p>
    <w:p w14:paraId="7FF1736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na roboty zamienne o wartości wyższej niż pierwotnie założona, z zastrzeżeniem zapisów Umowy o dofinansowanie; </w:t>
      </w:r>
    </w:p>
    <w:p w14:paraId="6CE5BB77"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podatek VAT, również w przypadku braku prawnej możliwości jego odzyskania na gruncie prawodawstwa krajowego;</w:t>
      </w:r>
    </w:p>
    <w:p w14:paraId="4455BE24" w14:textId="77777777" w:rsidR="00357261" w:rsidRPr="00357261" w:rsidRDefault="00357261" w:rsidP="00242417">
      <w:pPr>
        <w:pStyle w:val="Default"/>
        <w:numPr>
          <w:ilvl w:val="0"/>
          <w:numId w:val="29"/>
        </w:numPr>
        <w:suppressAutoHyphens w:val="0"/>
        <w:adjustRightInd w:val="0"/>
        <w:spacing w:after="360" w:line="276" w:lineRule="auto"/>
        <w:ind w:left="425" w:hanging="425"/>
        <w:textAlignment w:val="auto"/>
        <w:rPr>
          <w:rFonts w:ascii="Arial" w:hAnsi="Arial" w:cs="Arial"/>
        </w:rPr>
      </w:pPr>
      <w:r w:rsidRPr="00357261">
        <w:rPr>
          <w:rFonts w:ascii="Arial" w:hAnsi="Arial" w:cs="Arial"/>
        </w:rPr>
        <w:t xml:space="preserve">wydatki określone jako niekwalifikowane w </w:t>
      </w:r>
      <w:r w:rsidRPr="00357261">
        <w:rPr>
          <w:rFonts w:ascii="Arial" w:hAnsi="Arial" w:cs="Arial"/>
          <w:i/>
        </w:rPr>
        <w:t>Wytycznych dotyczących kwalifikowalności wydatków na lata 2021-2027</w:t>
      </w:r>
      <w:r w:rsidRPr="00357261">
        <w:rPr>
          <w:rFonts w:ascii="Arial" w:hAnsi="Arial" w:cs="Arial"/>
        </w:rPr>
        <w:t>.</w:t>
      </w:r>
    </w:p>
    <w:p w14:paraId="58121B2A" w14:textId="77777777" w:rsidR="00242417" w:rsidRPr="00E3659C" w:rsidRDefault="00242417" w:rsidP="0024241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28908B53" w14:textId="3CAB9FCA" w:rsidR="00C8482E" w:rsidRDefault="00C8482E" w:rsidP="00030580">
      <w:pPr>
        <w:suppressAutoHyphens w:val="0"/>
        <w:spacing w:line="276" w:lineRule="auto"/>
        <w:jc w:val="left"/>
        <w:rPr>
          <w:rFonts w:ascii="Arial" w:eastAsia="MS Mincho" w:hAnsi="Arial" w:cs="Arial"/>
          <w:color w:val="0070C0"/>
          <w:szCs w:val="20"/>
        </w:rPr>
      </w:pPr>
      <w:r>
        <w:rPr>
          <w:b/>
          <w:color w:val="0070C0"/>
        </w:rPr>
        <w:br w:type="page"/>
      </w:r>
    </w:p>
    <w:p w14:paraId="2D5CE0BB" w14:textId="504E30B7" w:rsidR="007F56E2" w:rsidRDefault="007F56E2" w:rsidP="00030580">
      <w:pPr>
        <w:pStyle w:val="Nagwek1"/>
        <w:spacing w:before="0" w:after="240" w:line="276" w:lineRule="auto"/>
        <w:jc w:val="left"/>
        <w:rPr>
          <w:b w:val="0"/>
          <w:color w:val="0070C0"/>
        </w:rPr>
      </w:pPr>
      <w:bookmarkStart w:id="24" w:name="_Toc129602554"/>
      <w:r w:rsidRPr="002C4478">
        <w:rPr>
          <w:b w:val="0"/>
          <w:color w:val="0070C0"/>
        </w:rPr>
        <w:lastRenderedPageBreak/>
        <w:t xml:space="preserve">2. </w:t>
      </w:r>
      <w:r w:rsidR="00E7250B">
        <w:rPr>
          <w:b w:val="0"/>
          <w:color w:val="0070C0"/>
        </w:rPr>
        <w:t>Katalogi wydatków w ramach Priorytetów 2-6 FEP 2021-2027</w:t>
      </w:r>
      <w:bookmarkEnd w:id="24"/>
    </w:p>
    <w:p w14:paraId="6CA65911" w14:textId="373F294C" w:rsidR="007F56E2" w:rsidRDefault="007F56E2" w:rsidP="00030580">
      <w:pPr>
        <w:pStyle w:val="Nagwek2"/>
        <w:numPr>
          <w:ilvl w:val="0"/>
          <w:numId w:val="0"/>
        </w:numPr>
        <w:spacing w:before="0" w:after="240" w:line="276" w:lineRule="auto"/>
        <w:ind w:left="360" w:hanging="360"/>
        <w:jc w:val="left"/>
        <w:rPr>
          <w:color w:val="7030A0"/>
          <w:sz w:val="24"/>
          <w:szCs w:val="24"/>
        </w:rPr>
      </w:pPr>
      <w:bookmarkStart w:id="25" w:name="_Toc129602555"/>
      <w:r w:rsidRPr="00EA7C5E">
        <w:rPr>
          <w:color w:val="7030A0"/>
          <w:sz w:val="24"/>
          <w:szCs w:val="24"/>
        </w:rPr>
        <w:t>2.</w:t>
      </w:r>
      <w:r w:rsidR="00E7250B">
        <w:rPr>
          <w:color w:val="7030A0"/>
          <w:sz w:val="24"/>
          <w:szCs w:val="24"/>
        </w:rPr>
        <w:t>1 Zasady ogólne</w:t>
      </w:r>
      <w:bookmarkEnd w:id="25"/>
      <w:r w:rsidR="00E7250B">
        <w:rPr>
          <w:color w:val="7030A0"/>
          <w:sz w:val="24"/>
          <w:szCs w:val="24"/>
        </w:rPr>
        <w:t xml:space="preserve"> </w:t>
      </w:r>
    </w:p>
    <w:p w14:paraId="0A48E1CE" w14:textId="77777777" w:rsidR="00E7250B" w:rsidRPr="00035332" w:rsidRDefault="00E7250B" w:rsidP="00E7250B">
      <w:pPr>
        <w:spacing w:before="240" w:after="240" w:line="276" w:lineRule="auto"/>
        <w:jc w:val="left"/>
        <w:rPr>
          <w:rFonts w:ascii="Arial" w:eastAsia="Calibri" w:hAnsi="Arial" w:cs="Arial"/>
          <w:bCs/>
        </w:rPr>
      </w:pPr>
      <w:r w:rsidRPr="00035332">
        <w:rPr>
          <w:rFonts w:ascii="Arial" w:eastAsia="Calibri" w:hAnsi="Arial" w:cs="Arial"/>
          <w:b/>
        </w:rPr>
        <w:t>Kwalifikowalne są następujące wydatki:</w:t>
      </w:r>
    </w:p>
    <w:p w14:paraId="290B44AD" w14:textId="77777777" w:rsidR="00E7250B" w:rsidRPr="00035332" w:rsidRDefault="00E7250B" w:rsidP="006A397A">
      <w:pPr>
        <w:pStyle w:val="Akapitzlist"/>
        <w:numPr>
          <w:ilvl w:val="0"/>
          <w:numId w:val="39"/>
        </w:numPr>
        <w:spacing w:before="60" w:after="60" w:line="276" w:lineRule="auto"/>
        <w:jc w:val="left"/>
        <w:rPr>
          <w:rFonts w:ascii="Arial" w:eastAsia="Calibri" w:hAnsi="Arial" w:cs="Arial"/>
          <w:b/>
        </w:rPr>
      </w:pPr>
      <w:bookmarkStart w:id="26" w:name="_Hlk128134424"/>
      <w:r w:rsidRPr="00035332">
        <w:rPr>
          <w:rFonts w:ascii="Arial" w:eastAsia="Calibri" w:hAnsi="Arial" w:cs="Arial"/>
          <w:b/>
        </w:rPr>
        <w:t xml:space="preserve">koszty bezpośrednie </w:t>
      </w:r>
      <w:r w:rsidRPr="00035332">
        <w:rPr>
          <w:rFonts w:ascii="Arial" w:eastAsia="Calibri" w:hAnsi="Arial" w:cs="Arial"/>
          <w:bCs/>
        </w:rPr>
        <w:t>– kwalifikowane są:</w:t>
      </w:r>
    </w:p>
    <w:p w14:paraId="3056627A" w14:textId="77777777" w:rsidR="00E7250B" w:rsidRPr="00035332" w:rsidRDefault="00E7250B" w:rsidP="004D1AED">
      <w:pPr>
        <w:pStyle w:val="Akapitzlist"/>
        <w:numPr>
          <w:ilvl w:val="0"/>
          <w:numId w:val="46"/>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7D0CB167" w14:textId="77777777" w:rsidR="00E7250B" w:rsidRPr="00035332" w:rsidRDefault="00E7250B" w:rsidP="004D1AED">
      <w:pPr>
        <w:numPr>
          <w:ilvl w:val="0"/>
          <w:numId w:val="46"/>
        </w:numPr>
        <w:tabs>
          <w:tab w:val="left" w:pos="851"/>
        </w:tabs>
        <w:spacing w:before="60" w:after="60" w:line="276" w:lineRule="auto"/>
        <w:ind w:left="851" w:hanging="425"/>
        <w:jc w:val="left"/>
        <w:rPr>
          <w:rFonts w:ascii="Arial" w:eastAsia="Calibri" w:hAnsi="Arial" w:cs="Arial"/>
          <w:b/>
          <w:color w:val="000000" w:themeColor="text1"/>
        </w:rPr>
      </w:pPr>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6AFEC51F" w14:textId="77777777" w:rsidR="00E7250B" w:rsidRPr="00035332"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 20 000 zł (limit nie obejmuje dokumentacji technicznej i dokumentacji środowiskowej),</w:t>
      </w:r>
    </w:p>
    <w:p w14:paraId="4ADD32DE" w14:textId="77777777" w:rsidR="00E7250B" w:rsidRPr="00035332"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 40 000 zł (limit nie obejmuje dokumentacji technicznej i dokumentacji środowiskowej)</w:t>
      </w:r>
      <w:r w:rsidRPr="00035332">
        <w:rPr>
          <w:rFonts w:ascii="Arial" w:eastAsia="Calibri" w:hAnsi="Arial" w:cs="Arial"/>
          <w:iCs/>
        </w:rPr>
        <w:t>;</w:t>
      </w:r>
      <w:bookmarkEnd w:id="26"/>
    </w:p>
    <w:p w14:paraId="22F54B30" w14:textId="77777777" w:rsidR="00E7250B" w:rsidRPr="00035332" w:rsidRDefault="00E7250B" w:rsidP="006A397A">
      <w:pPr>
        <w:pStyle w:val="Akapitzlist"/>
        <w:numPr>
          <w:ilvl w:val="0"/>
          <w:numId w:val="39"/>
        </w:numPr>
        <w:spacing w:before="240" w:line="276" w:lineRule="auto"/>
        <w:jc w:val="left"/>
        <w:rPr>
          <w:rFonts w:ascii="Arial" w:eastAsia="Calibri" w:hAnsi="Arial" w:cs="Arial"/>
          <w:b/>
        </w:rPr>
      </w:pPr>
      <w:r w:rsidRPr="00035332">
        <w:rPr>
          <w:rFonts w:ascii="Arial" w:eastAsia="Calibri" w:hAnsi="Arial" w:cs="Arial"/>
          <w:b/>
        </w:rPr>
        <w:t>koszty pośrednie:</w:t>
      </w:r>
    </w:p>
    <w:p w14:paraId="3752306D"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 xml:space="preserve">koszty pośrednie wskazane w </w:t>
      </w:r>
      <w:r w:rsidRPr="00035332">
        <w:rPr>
          <w:rFonts w:ascii="Arial" w:eastAsia="Calibri" w:hAnsi="Arial" w:cs="Arial"/>
          <w:bCs/>
          <w:i/>
        </w:rPr>
        <w:t>Wytycznych dotyczących kwalifikowalności wydatków na lata 2021-2027</w:t>
      </w:r>
      <w:r w:rsidRPr="00035332">
        <w:rPr>
          <w:rFonts w:ascii="Arial" w:eastAsia="Calibri" w:hAnsi="Arial" w:cs="Arial"/>
          <w:bCs/>
          <w:iCs/>
        </w:rPr>
        <w:t>,</w:t>
      </w:r>
    </w:p>
    <w:p w14:paraId="6718A415"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koszty związane z promocją projektu,</w:t>
      </w:r>
    </w:p>
    <w:p w14:paraId="375B9558"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 zakupu podpisu elektronicznego weryfikowanego za pomocą ważnego kwalifikowalnego certyfikatu.</w:t>
      </w:r>
    </w:p>
    <w:p w14:paraId="4F7D1108" w14:textId="77777777" w:rsidR="00E7250B" w:rsidRPr="00035332" w:rsidRDefault="00E7250B" w:rsidP="00E7250B">
      <w:pPr>
        <w:spacing w:before="60" w:after="60" w:line="276" w:lineRule="auto"/>
        <w:jc w:val="left"/>
        <w:rPr>
          <w:rFonts w:ascii="Arial" w:hAnsi="Arial" w:cs="Arial"/>
        </w:rPr>
      </w:pPr>
      <w:r w:rsidRPr="00035332">
        <w:rPr>
          <w:rFonts w:ascii="Arial" w:hAnsi="Arial" w:cs="Arial"/>
          <w:b/>
          <w:bCs/>
        </w:rPr>
        <w:t xml:space="preserve">W ramach projektu koszty pośrednie rozliczane są wyłącznie </w:t>
      </w:r>
      <w:r w:rsidRPr="00035332">
        <w:rPr>
          <w:rFonts w:ascii="Arial" w:hAnsi="Arial" w:cs="Arial"/>
          <w:b/>
          <w:bCs/>
          <w:color w:val="000000"/>
          <w:lang w:eastAsia="zh-TW"/>
        </w:rPr>
        <w:t>stawką ryczałtową w wysokości 0,5% kwalifikowalnych kosztów bezpośrednich</w:t>
      </w:r>
      <w:r w:rsidRPr="00035332">
        <w:rPr>
          <w:rFonts w:ascii="Arial" w:hAnsi="Arial" w:cs="Arial"/>
          <w:color w:val="000000"/>
          <w:lang w:eastAsia="zh-TW"/>
        </w:rPr>
        <w:t xml:space="preserve">, </w:t>
      </w:r>
      <w:r w:rsidRPr="00035332">
        <w:rPr>
          <w:rFonts w:ascii="Arial" w:hAnsi="Arial" w:cs="Arial"/>
          <w:color w:val="000000"/>
          <w:lang w:eastAsia="zh-TW"/>
        </w:rPr>
        <w:br/>
        <w:t xml:space="preserve">o której mowa w art. 54 lit a </w:t>
      </w:r>
      <w:r w:rsidRPr="00035332">
        <w:rPr>
          <w:rFonts w:ascii="Arial" w:hAnsi="Arial" w:cs="Arial"/>
        </w:rPr>
        <w:t>rozporządzenia 2021/1060.</w:t>
      </w:r>
    </w:p>
    <w:p w14:paraId="0C03455D" w14:textId="77777777" w:rsidR="00E7250B" w:rsidRPr="00035332" w:rsidRDefault="00E7250B" w:rsidP="00E7250B">
      <w:pPr>
        <w:spacing w:after="240" w:line="276" w:lineRule="auto"/>
        <w:jc w:val="left"/>
        <w:rPr>
          <w:rFonts w:ascii="Arial" w:eastAsia="Calibri" w:hAnsi="Arial" w:cs="Arial"/>
          <w:bCs/>
        </w:rPr>
      </w:pPr>
      <w:r w:rsidRPr="00035332">
        <w:rPr>
          <w:rFonts w:ascii="Arial" w:hAnsi="Arial" w:cs="Arial"/>
        </w:rPr>
        <w:t>Wydatki rozliczane stawką ryczałtową są traktowane jako wydatki poniesione. Nie ma obowiązku gromadzenia ani opisywania dokumentów księgowych w ramach projektu na potwierdzenie poniesienia wydatków, które zostały wykazane jako wydatki objęte stawką ryczałtową. Weryfikacja wydatków zadeklarowanych według stawki ryczałtowej polega na sprawdzeniu, czy beneficjent prawidłowo zastosował określoną wysokość stawki wynikającą z umowy o dofinansowanie oraz czy prawidłowo wykazał kwotę wydatków będących podstawą jej wyliczenia.</w:t>
      </w:r>
    </w:p>
    <w:p w14:paraId="7488B203" w14:textId="77777777" w:rsidR="00E7250B" w:rsidRPr="00035332" w:rsidRDefault="00E7250B" w:rsidP="00E7250B">
      <w:pPr>
        <w:spacing w:after="240" w:line="276" w:lineRule="auto"/>
        <w:jc w:val="left"/>
        <w:rPr>
          <w:rFonts w:ascii="Arial" w:hAnsi="Arial" w:cs="Arial"/>
        </w:rPr>
      </w:pPr>
      <w:r w:rsidRPr="00035332">
        <w:rPr>
          <w:rFonts w:ascii="Arial" w:eastAsia="Calibri" w:hAnsi="Arial" w:cs="Arial"/>
          <w:b/>
        </w:rPr>
        <w:lastRenderedPageBreak/>
        <w:t xml:space="preserve">Niekwalifikowalne są wydatki niespełniające ogólnych warunków kwalifikowalności, wskazane jako niekwalifikowalne w </w:t>
      </w:r>
      <w:r w:rsidRPr="00035332">
        <w:rPr>
          <w:rFonts w:ascii="Arial" w:eastAsia="Calibri" w:hAnsi="Arial" w:cs="Arial"/>
          <w:b/>
          <w:i/>
        </w:rPr>
        <w:t>Wytycznych dotyczących kwalifikowalności wydatków na lata 2021-2027</w:t>
      </w:r>
      <w:bookmarkStart w:id="27" w:name="_Hlk127879933"/>
      <w:r w:rsidRPr="00035332">
        <w:rPr>
          <w:rFonts w:ascii="Arial" w:eastAsia="Calibri" w:hAnsi="Arial" w:cs="Arial"/>
          <w:b/>
          <w:i/>
        </w:rPr>
        <w:t>,</w:t>
      </w:r>
      <w:r w:rsidRPr="00035332">
        <w:rPr>
          <w:rFonts w:ascii="Arial" w:eastAsia="Calibri" w:hAnsi="Arial" w:cs="Arial"/>
          <w:b/>
        </w:rPr>
        <w:t xml:space="preserve"> </w:t>
      </w:r>
      <w:r w:rsidRPr="00035332">
        <w:rPr>
          <w:rFonts w:ascii="Arial" w:eastAsia="Calibri" w:hAnsi="Arial" w:cs="Arial"/>
          <w:b/>
          <w:color w:val="000000" w:themeColor="text1"/>
        </w:rPr>
        <w:t xml:space="preserve">wynikające z SZOP dla </w:t>
      </w:r>
      <w:bookmarkEnd w:id="27"/>
      <w:r w:rsidRPr="00035332">
        <w:rPr>
          <w:rFonts w:ascii="Arial" w:eastAsia="Calibri" w:hAnsi="Arial" w:cs="Arial"/>
          <w:b/>
          <w:color w:val="000000" w:themeColor="text1"/>
        </w:rPr>
        <w:t xml:space="preserve">danego działania </w:t>
      </w:r>
      <w:r w:rsidRPr="00035332">
        <w:rPr>
          <w:rFonts w:ascii="Arial" w:eastAsia="Calibri" w:hAnsi="Arial" w:cs="Arial"/>
          <w:b/>
        </w:rPr>
        <w:t>oraz:</w:t>
      </w:r>
    </w:p>
    <w:p w14:paraId="3B2203E4"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22FC23C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bieżąca eksploatacja i utrzymanie produktów projektu / obiektów / infrastruktury,</w:t>
      </w:r>
    </w:p>
    <w:p w14:paraId="3DF4B2D4" w14:textId="01286306" w:rsidR="00E7250B" w:rsidRPr="00035332" w:rsidRDefault="00E7250B" w:rsidP="006A397A">
      <w:pPr>
        <w:pStyle w:val="Akapitzlist"/>
        <w:numPr>
          <w:ilvl w:val="0"/>
          <w:numId w:val="40"/>
        </w:numPr>
        <w:spacing w:line="276" w:lineRule="auto"/>
        <w:ind w:left="709" w:hanging="425"/>
        <w:jc w:val="left"/>
        <w:rPr>
          <w:rFonts w:ascii="Arial" w:hAnsi="Arial" w:cs="Arial"/>
        </w:rPr>
      </w:pPr>
      <w:r w:rsidRPr="00035332">
        <w:rPr>
          <w:rFonts w:ascii="Arial" w:hAnsi="Arial" w:cs="Arial"/>
        </w:rPr>
        <w:t>środki trwałe wykorzystywane w celu wspomagania procesu wdrażania projektu, służące do wykonania zakresu rzeczowego projektu,</w:t>
      </w:r>
    </w:p>
    <w:p w14:paraId="6F7D315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zakup wyposażenia niebędącego środkiem trwałym,</w:t>
      </w:r>
    </w:p>
    <w:p w14:paraId="30DA33D7"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 xml:space="preserve">środki transportu (nie dotyczy typu projektu </w:t>
      </w:r>
      <w:r w:rsidRPr="00035332">
        <w:rPr>
          <w:rFonts w:ascii="Arial" w:hAnsi="Arial" w:cs="Arial"/>
          <w:i/>
        </w:rPr>
        <w:t>Rozwijanie systemów ratownictwa</w:t>
      </w:r>
      <w:r w:rsidRPr="00035332">
        <w:rPr>
          <w:rFonts w:ascii="Arial" w:hAnsi="Arial" w:cs="Arial"/>
        </w:rPr>
        <w:t xml:space="preserve"> w ramach działania 2.5),</w:t>
      </w:r>
    </w:p>
    <w:p w14:paraId="3E038E28"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amortyzacja,</w:t>
      </w:r>
    </w:p>
    <w:p w14:paraId="29716036"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7D84BC9F"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 nadzoru (np. inwestorskiego, autorskiego) oraz opracowania dokumentacji na zakres wykraczający poza zakres rzeczowy projektu (w celu 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8452B20"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 przygotowania dokumentacji, która nie jest wymagana przez IZ lub przepisy prawa,</w:t>
      </w:r>
    </w:p>
    <w:p w14:paraId="40946522"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wkład niepieniężny stanowiący część lub całość wkładu własnego,</w:t>
      </w:r>
    </w:p>
    <w:p w14:paraId="17F8A285" w14:textId="77777777" w:rsidR="00E7250B" w:rsidRPr="00035332" w:rsidRDefault="00E7250B" w:rsidP="006A397A">
      <w:pPr>
        <w:pStyle w:val="Akapitzlist"/>
        <w:numPr>
          <w:ilvl w:val="0"/>
          <w:numId w:val="40"/>
        </w:numPr>
        <w:spacing w:line="276" w:lineRule="auto"/>
        <w:ind w:left="721" w:hanging="437"/>
        <w:jc w:val="left"/>
        <w:rPr>
          <w:rFonts w:ascii="Arial" w:hAnsi="Arial" w:cs="Arial"/>
        </w:rPr>
      </w:pPr>
      <w:r w:rsidRPr="00035332">
        <w:rPr>
          <w:rFonts w:ascii="Arial" w:hAnsi="Arial" w:cs="Arial"/>
        </w:rPr>
        <w:t>koszty wynagrodzenia ponoszone w związku z wykonawstwem własnym beneficjenta lub jego pracowników,</w:t>
      </w:r>
    </w:p>
    <w:p w14:paraId="387F81A3"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usługi w zakresie audytu innego niż wymagany przez IZ lub przepisy prawa,</w:t>
      </w:r>
    </w:p>
    <w:p w14:paraId="0E9D2255"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usługi zarządzania projektem (czynności związane z wykonywaniem obowiązków beneficjenta wobec IZ, w tym np. wydatki związane z wyborem wykonawców, bieżącą obsługą projektu, rozliczeniami i monitorowaniem efektów projektu, itd.) jako koszt bezpośredni projektu,</w:t>
      </w:r>
    </w:p>
    <w:p w14:paraId="3D3AE1BC"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wydatki związane z promocją projektu jako koszt bezpośredni projektu,</w:t>
      </w:r>
    </w:p>
    <w:p w14:paraId="6A76D9B0" w14:textId="773A9D02" w:rsidR="0018351B" w:rsidRPr="00994C34" w:rsidRDefault="00E7250B" w:rsidP="00994C34">
      <w:pPr>
        <w:pStyle w:val="Akapitzlist"/>
        <w:numPr>
          <w:ilvl w:val="0"/>
          <w:numId w:val="40"/>
        </w:numPr>
        <w:spacing w:line="276" w:lineRule="auto"/>
        <w:jc w:val="left"/>
        <w:rPr>
          <w:rFonts w:ascii="Arial" w:hAnsi="Arial" w:cs="Arial"/>
        </w:rPr>
      </w:pPr>
      <w:r w:rsidRPr="00035332">
        <w:rPr>
          <w:rFonts w:ascii="ArialMT" w:hAnsi="ArialMT" w:cs="ArialMT"/>
          <w:lang w:eastAsia="zh-TW"/>
        </w:rPr>
        <w:t>premia dla autora lub współautora dokumentacji aplikacyjnej z tytułu otrzymania dofinansowania przez wnioskodawcę.</w:t>
      </w:r>
      <w:r w:rsidR="0018351B" w:rsidRPr="00994C34">
        <w:rPr>
          <w:color w:val="7030A0"/>
        </w:rPr>
        <w:br w:type="page"/>
      </w:r>
    </w:p>
    <w:p w14:paraId="4F7BD425" w14:textId="04DA50B2" w:rsidR="00E7250B" w:rsidRPr="00E7250B" w:rsidRDefault="00E7250B" w:rsidP="00E3659C">
      <w:pPr>
        <w:pStyle w:val="Nagwek2"/>
        <w:numPr>
          <w:ilvl w:val="0"/>
          <w:numId w:val="0"/>
        </w:numPr>
        <w:spacing w:before="0" w:after="240" w:line="276" w:lineRule="auto"/>
        <w:ind w:left="357" w:hanging="357"/>
        <w:jc w:val="left"/>
        <w:rPr>
          <w:color w:val="7030A0"/>
          <w:sz w:val="24"/>
          <w:szCs w:val="24"/>
        </w:rPr>
      </w:pPr>
      <w:bookmarkStart w:id="28" w:name="_Toc129602556"/>
      <w:r w:rsidRPr="00E7250B">
        <w:rPr>
          <w:color w:val="7030A0"/>
          <w:sz w:val="24"/>
          <w:szCs w:val="24"/>
        </w:rPr>
        <w:lastRenderedPageBreak/>
        <w:t>2.2 Zasady szczegółowe</w:t>
      </w:r>
      <w:bookmarkEnd w:id="28"/>
      <w:r w:rsidRPr="00E7250B">
        <w:rPr>
          <w:color w:val="7030A0"/>
          <w:sz w:val="24"/>
          <w:szCs w:val="24"/>
        </w:rPr>
        <w:t xml:space="preserve"> </w:t>
      </w:r>
    </w:p>
    <w:p w14:paraId="709AE4C6" w14:textId="55C1FA39" w:rsidR="00E7250B" w:rsidRDefault="00F64873" w:rsidP="00F64873">
      <w:pPr>
        <w:pStyle w:val="Nagwek3"/>
        <w:spacing w:before="0" w:line="276" w:lineRule="auto"/>
        <w:jc w:val="left"/>
        <w:rPr>
          <w:rFonts w:cs="Arial"/>
          <w:b/>
          <w:color w:val="0070C0"/>
          <w:lang w:eastAsia="en-US"/>
        </w:rPr>
      </w:pPr>
      <w:bookmarkStart w:id="29" w:name="_Toc129602557"/>
      <w:r>
        <w:rPr>
          <w:rFonts w:cs="Arial"/>
          <w:b/>
          <w:color w:val="0070C0"/>
          <w:lang w:eastAsia="en-US"/>
        </w:rPr>
        <w:t xml:space="preserve">2.2.1 </w:t>
      </w:r>
      <w:r w:rsidR="003C530A">
        <w:rPr>
          <w:rFonts w:cs="Arial"/>
          <w:b/>
          <w:color w:val="0070C0"/>
          <w:lang w:eastAsia="en-US"/>
        </w:rPr>
        <w:t xml:space="preserve">Działanie 2.1 </w:t>
      </w:r>
      <w:r w:rsidR="00E7250B">
        <w:rPr>
          <w:rFonts w:cs="Arial"/>
          <w:b/>
          <w:color w:val="0070C0"/>
          <w:lang w:eastAsia="en-US"/>
        </w:rPr>
        <w:t>Poprawa jakości powietrza – dotacja</w:t>
      </w:r>
      <w:bookmarkEnd w:id="29"/>
      <w:r w:rsidR="00E7250B">
        <w:rPr>
          <w:rFonts w:cs="Arial"/>
          <w:b/>
          <w:color w:val="0070C0"/>
          <w:lang w:eastAsia="en-US"/>
        </w:rPr>
        <w:t xml:space="preserve"> </w:t>
      </w:r>
    </w:p>
    <w:p w14:paraId="0D4DB34E" w14:textId="77777777" w:rsidR="00F64873" w:rsidRDefault="0018351B" w:rsidP="00F64873">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750533A" w14:textId="164BA7E0" w:rsidR="00E7250B" w:rsidRPr="00F64873" w:rsidRDefault="00F64873" w:rsidP="00F64873">
      <w:pPr>
        <w:pStyle w:val="Nagwek3"/>
        <w:rPr>
          <w:rFonts w:cs="Arial"/>
          <w:lang w:eastAsia="en-US"/>
        </w:rPr>
      </w:pPr>
      <w:bookmarkStart w:id="30" w:name="_Toc129602558"/>
      <w:r>
        <w:rPr>
          <w:rFonts w:cs="Arial"/>
          <w:b/>
          <w:color w:val="0070C0"/>
          <w:lang w:eastAsia="en-US"/>
        </w:rPr>
        <w:t>2.2.</w:t>
      </w:r>
      <w:r w:rsidR="003C530A">
        <w:rPr>
          <w:rFonts w:cs="Arial"/>
          <w:b/>
          <w:color w:val="0070C0"/>
          <w:lang w:eastAsia="en-US"/>
        </w:rPr>
        <w:t>2 Działanie 2.3</w:t>
      </w:r>
      <w:r>
        <w:rPr>
          <w:rFonts w:cs="Arial"/>
          <w:b/>
          <w:color w:val="0070C0"/>
          <w:lang w:eastAsia="en-US"/>
        </w:rPr>
        <w:t xml:space="preserve"> </w:t>
      </w:r>
      <w:r w:rsidR="00E7250B" w:rsidRPr="0018351B">
        <w:rPr>
          <w:rFonts w:cs="Arial"/>
          <w:b/>
          <w:color w:val="0070C0"/>
          <w:lang w:eastAsia="en-US"/>
        </w:rPr>
        <w:t>Odnawialne źródła energii – dotacja</w:t>
      </w:r>
      <w:bookmarkEnd w:id="30"/>
      <w:r w:rsidR="00E7250B" w:rsidRPr="0018351B">
        <w:rPr>
          <w:rFonts w:cs="Arial"/>
          <w:b/>
          <w:color w:val="0070C0"/>
          <w:lang w:eastAsia="en-US"/>
        </w:rPr>
        <w:t xml:space="preserve"> </w:t>
      </w:r>
    </w:p>
    <w:p w14:paraId="713B7C79" w14:textId="77777777" w:rsidR="00F64873" w:rsidRDefault="0018351B" w:rsidP="00F64873">
      <w:pPr>
        <w:spacing w:after="240" w:line="276" w:lineRule="auto"/>
        <w:jc w:val="left"/>
        <w:rPr>
          <w:rFonts w:ascii="Arial" w:hAnsi="Arial" w:cs="Arial"/>
          <w:lang w:eastAsia="en-US"/>
        </w:rPr>
      </w:pPr>
      <w:bookmarkStart w:id="31" w:name="_Hlk129338470"/>
      <w:r w:rsidRPr="0018351B">
        <w:rPr>
          <w:rFonts w:ascii="Arial" w:hAnsi="Arial" w:cs="Arial"/>
          <w:lang w:eastAsia="en-US"/>
        </w:rPr>
        <w:t>Zasady zostaną opracowane na późniejszym etapie</w:t>
      </w:r>
      <w:r>
        <w:rPr>
          <w:rFonts w:ascii="Arial" w:hAnsi="Arial" w:cs="Arial"/>
          <w:lang w:eastAsia="en-US"/>
        </w:rPr>
        <w:t>.</w:t>
      </w:r>
      <w:bookmarkEnd w:id="31"/>
    </w:p>
    <w:p w14:paraId="2F7583C2" w14:textId="7AA81C83" w:rsidR="00B957BF" w:rsidRPr="00F64873" w:rsidRDefault="00F64873" w:rsidP="00F64873">
      <w:pPr>
        <w:pStyle w:val="Nagwek3"/>
        <w:spacing w:after="240" w:line="276" w:lineRule="auto"/>
        <w:jc w:val="left"/>
        <w:rPr>
          <w:rFonts w:cs="Arial"/>
          <w:lang w:eastAsia="en-US"/>
        </w:rPr>
      </w:pPr>
      <w:bookmarkStart w:id="32" w:name="_Toc129602559"/>
      <w:r>
        <w:rPr>
          <w:rFonts w:cs="Arial"/>
          <w:b/>
          <w:color w:val="0070C0"/>
          <w:lang w:eastAsia="en-US"/>
        </w:rPr>
        <w:t>2.2.</w:t>
      </w:r>
      <w:r w:rsidR="003C530A">
        <w:rPr>
          <w:rFonts w:cs="Arial"/>
          <w:b/>
          <w:color w:val="0070C0"/>
          <w:lang w:eastAsia="en-US"/>
        </w:rPr>
        <w:t>3 Działanie 2.5</w:t>
      </w:r>
      <w:r>
        <w:rPr>
          <w:rFonts w:cs="Arial"/>
          <w:b/>
          <w:color w:val="0070C0"/>
          <w:lang w:eastAsia="en-US"/>
        </w:rPr>
        <w:t xml:space="preserve"> </w:t>
      </w:r>
      <w:r w:rsidR="0018351B" w:rsidRPr="0018351B">
        <w:rPr>
          <w:rFonts w:cs="Arial"/>
          <w:b/>
          <w:color w:val="0070C0"/>
          <w:lang w:eastAsia="en-US"/>
        </w:rPr>
        <w:t>Adaptacja do zmian klimatu</w:t>
      </w:r>
      <w:bookmarkEnd w:id="32"/>
    </w:p>
    <w:p w14:paraId="2914A599" w14:textId="0036CC64" w:rsidR="00E3659C" w:rsidRPr="00E3659C" w:rsidRDefault="00E3659C" w:rsidP="00F64873">
      <w:pPr>
        <w:spacing w:after="240" w:line="276" w:lineRule="auto"/>
        <w:jc w:val="left"/>
        <w:rPr>
          <w:rFonts w:ascii="Arial" w:hAnsi="Arial" w:cs="Arial"/>
          <w:b/>
        </w:rPr>
      </w:pPr>
      <w:r w:rsidRPr="00E3659C">
        <w:rPr>
          <w:rFonts w:ascii="Arial" w:hAnsi="Arial" w:cs="Arial"/>
          <w:b/>
        </w:rPr>
        <w:t>ROZWIJANIE SYSTEMÓW RATOWNICTWA</w:t>
      </w:r>
    </w:p>
    <w:p w14:paraId="1497EB36" w14:textId="1A7EBA5C" w:rsidR="00B957BF" w:rsidRPr="0078093E" w:rsidRDefault="003D5867" w:rsidP="00F64873">
      <w:pPr>
        <w:spacing w:line="276" w:lineRule="auto"/>
        <w:jc w:val="left"/>
        <w:rPr>
          <w:rFonts w:ascii="Arial" w:hAnsi="Arial" w:cs="Arial"/>
          <w:color w:val="0070C0"/>
          <w:lang w:eastAsia="en-US"/>
        </w:rPr>
      </w:pPr>
      <w:r>
        <w:rPr>
          <w:rFonts w:ascii="Arial" w:hAnsi="Arial" w:cs="Arial"/>
        </w:rPr>
        <w:t xml:space="preserve">Oprócz wydatków wymienionych w podrozdziale 2.1, </w:t>
      </w:r>
      <w:r>
        <w:rPr>
          <w:rFonts w:ascii="Arial" w:eastAsia="Calibri" w:hAnsi="Arial" w:cs="Arial"/>
        </w:rPr>
        <w:t xml:space="preserve">dodatkowo </w:t>
      </w:r>
      <w:r w:rsidR="00B957BF" w:rsidRPr="0078093E">
        <w:rPr>
          <w:rFonts w:ascii="Arial" w:eastAsia="Calibri" w:hAnsi="Arial" w:cs="Arial"/>
        </w:rPr>
        <w:t>niekwalifikowalne są:</w:t>
      </w:r>
    </w:p>
    <w:p w14:paraId="232742E5" w14:textId="77777777" w:rsidR="00B957BF" w:rsidRPr="0078093E" w:rsidRDefault="00B957BF" w:rsidP="006A397A">
      <w:pPr>
        <w:pStyle w:val="Akapitzlist"/>
        <w:numPr>
          <w:ilvl w:val="0"/>
          <w:numId w:val="41"/>
        </w:numPr>
        <w:spacing w:line="276" w:lineRule="auto"/>
        <w:jc w:val="left"/>
        <w:rPr>
          <w:rFonts w:ascii="Arial" w:hAnsi="Arial" w:cs="Arial"/>
        </w:rPr>
      </w:pPr>
      <w:r w:rsidRPr="0078093E">
        <w:rPr>
          <w:rFonts w:ascii="Arial" w:hAnsi="Arial" w:cs="Arial"/>
        </w:rPr>
        <w:t>zakup innych niż nowe, np. używanych, składanych pojazdów ratowniczo-gaśniczych lub innych pojazdów specjalistycznych wraz z innym niż nowe wyposażeniem montowanym na stałe,</w:t>
      </w:r>
    </w:p>
    <w:p w14:paraId="2E55C504" w14:textId="77777777" w:rsidR="00B957BF" w:rsidRPr="0078093E" w:rsidRDefault="00B957BF" w:rsidP="006A397A">
      <w:pPr>
        <w:pStyle w:val="Akapitzlist"/>
        <w:numPr>
          <w:ilvl w:val="0"/>
          <w:numId w:val="41"/>
        </w:numPr>
        <w:spacing w:after="240" w:line="276" w:lineRule="auto"/>
        <w:ind w:left="714" w:hanging="357"/>
        <w:jc w:val="left"/>
        <w:rPr>
          <w:rFonts w:ascii="Arial" w:hAnsi="Arial" w:cs="Arial"/>
        </w:rPr>
      </w:pPr>
      <w:r w:rsidRPr="0078093E">
        <w:rPr>
          <w:rFonts w:ascii="Arial" w:hAnsi="Arial" w:cs="Arial"/>
        </w:rPr>
        <w:t>zakup innego niż nowy, np. używanego sprzętu stanowiącego wyposażenie specjalistycznych grup ratownictwa wysokościowego, wodnego, chemiczno-ekologicznego, grup poszukiwawczo- ratowniczych.</w:t>
      </w:r>
    </w:p>
    <w:p w14:paraId="07C1F368" w14:textId="3B09A5CB" w:rsidR="00E3659C" w:rsidRPr="00E3659C" w:rsidRDefault="00E3659C" w:rsidP="003D5867">
      <w:pPr>
        <w:spacing w:after="240" w:line="276" w:lineRule="auto"/>
        <w:jc w:val="left"/>
        <w:rPr>
          <w:rFonts w:ascii="Arial" w:hAnsi="Arial" w:cs="Arial"/>
          <w:b/>
          <w:lang w:eastAsia="en-US"/>
        </w:rPr>
      </w:pPr>
      <w:r w:rsidRPr="00E3659C">
        <w:rPr>
          <w:rFonts w:ascii="Arial" w:hAnsi="Arial" w:cs="Arial"/>
          <w:b/>
          <w:lang w:eastAsia="en-US"/>
        </w:rPr>
        <w:t>BUDOWA, PRZEBUDOWA LUB REMONT URZĄDZEŃ WODNYCH I INFRASTRUKTURY TOWARZYSZĄCEJ SŁUŻĄCYCH PRZECIWDZIAŁANIU/ZMNIEJSZENIU SKUTKÓW POWODZI LUB SUSZY</w:t>
      </w:r>
    </w:p>
    <w:p w14:paraId="6C6E42F3" w14:textId="0B280CC6" w:rsidR="00B957BF" w:rsidRDefault="00E3659C" w:rsidP="003D5867">
      <w:pPr>
        <w:spacing w:after="240" w:line="276" w:lineRule="auto"/>
        <w:jc w:val="left"/>
        <w:rPr>
          <w:rFonts w:ascii="Arial" w:hAnsi="Arial" w:cs="Arial"/>
          <w:lang w:eastAsia="en-US"/>
        </w:rPr>
      </w:pPr>
      <w:bookmarkStart w:id="33" w:name="_Hlk129338940"/>
      <w:r>
        <w:rPr>
          <w:rFonts w:ascii="Arial" w:hAnsi="Arial" w:cs="Arial"/>
          <w:lang w:eastAsia="en-US"/>
        </w:rPr>
        <w:t>K</w:t>
      </w:r>
      <w:r w:rsidR="00B957BF" w:rsidRPr="0078093E">
        <w:rPr>
          <w:rFonts w:ascii="Arial" w:hAnsi="Arial" w:cs="Arial"/>
          <w:lang w:eastAsia="en-US"/>
        </w:rPr>
        <w:t>walifikowalnoś</w:t>
      </w:r>
      <w:r w:rsidR="0078093E">
        <w:rPr>
          <w:rFonts w:ascii="Arial" w:hAnsi="Arial" w:cs="Arial"/>
          <w:lang w:eastAsia="en-US"/>
        </w:rPr>
        <w:t>ć</w:t>
      </w:r>
      <w:r w:rsidR="00B957BF" w:rsidRPr="0078093E">
        <w:rPr>
          <w:rFonts w:ascii="Arial" w:hAnsi="Arial" w:cs="Arial"/>
          <w:lang w:eastAsia="en-US"/>
        </w:rPr>
        <w:t xml:space="preserve"> wydatków na zasadach ogólnych określonych w podrozdziale 2.1.</w:t>
      </w:r>
    </w:p>
    <w:p w14:paraId="691A0160" w14:textId="4E0E4C20" w:rsidR="003D5867" w:rsidRPr="00E3659C" w:rsidRDefault="003D5867" w:rsidP="003D586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4E13AB4B" w14:textId="57352A19" w:rsidR="00E7250B" w:rsidRDefault="00E7250B" w:rsidP="00E3659C">
      <w:pPr>
        <w:pStyle w:val="Nagwek3"/>
        <w:spacing w:after="240" w:line="276" w:lineRule="auto"/>
        <w:jc w:val="left"/>
        <w:rPr>
          <w:rFonts w:cs="Arial"/>
          <w:b/>
          <w:color w:val="0070C0"/>
          <w:lang w:eastAsia="en-US"/>
        </w:rPr>
      </w:pPr>
      <w:bookmarkStart w:id="34" w:name="_Toc129602560"/>
      <w:bookmarkEnd w:id="33"/>
      <w:r w:rsidRPr="00B957BF">
        <w:rPr>
          <w:rFonts w:cs="Arial"/>
          <w:b/>
          <w:color w:val="0070C0"/>
          <w:lang w:eastAsia="en-US"/>
        </w:rPr>
        <w:t>2.2.</w:t>
      </w:r>
      <w:r w:rsidR="003C530A">
        <w:rPr>
          <w:rFonts w:cs="Arial"/>
          <w:b/>
          <w:color w:val="0070C0"/>
          <w:lang w:eastAsia="en-US"/>
        </w:rPr>
        <w:t>4 Działanie 2.6</w:t>
      </w:r>
      <w:r w:rsidR="0018351B" w:rsidRPr="00B957BF">
        <w:rPr>
          <w:rFonts w:cs="Arial"/>
          <w:b/>
          <w:color w:val="0070C0"/>
          <w:lang w:eastAsia="en-US"/>
        </w:rPr>
        <w:t xml:space="preserve"> Zrównoważona gospodarka wodno-ściekowa</w:t>
      </w:r>
      <w:bookmarkEnd w:id="34"/>
    </w:p>
    <w:p w14:paraId="52029D23"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OCZYSZCZANIA ŚCIEKÓW</w:t>
      </w:r>
    </w:p>
    <w:p w14:paraId="495322AD"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KANALIZACJI ŚCIEKOWEJ</w:t>
      </w:r>
    </w:p>
    <w:p w14:paraId="15663452" w14:textId="77777777" w:rsidR="00E3659C" w:rsidRPr="00E3659C" w:rsidRDefault="00E3659C" w:rsidP="00E3659C">
      <w:pPr>
        <w:spacing w:after="240" w:line="276" w:lineRule="auto"/>
        <w:jc w:val="left"/>
        <w:rPr>
          <w:rFonts w:ascii="Arial" w:hAnsi="Arial" w:cs="Arial"/>
          <w:b/>
          <w:lang w:eastAsia="en-US"/>
        </w:rPr>
      </w:pPr>
      <w:r w:rsidRPr="00E3659C">
        <w:rPr>
          <w:rFonts w:ascii="Arial" w:hAnsi="Arial" w:cs="Arial"/>
          <w:b/>
          <w:lang w:eastAsia="en-US"/>
        </w:rPr>
        <w:t>INFRASTRUKTURA NIEZBĘDNA DO UJĘCIA, UZDATNIANIA, MAGAZYNOWANIA I DYSTRYBUCJI WODY DO SPOŻYCIA</w:t>
      </w:r>
    </w:p>
    <w:p w14:paraId="312E5417" w14:textId="16AD6430" w:rsidR="003D5867" w:rsidRPr="003D5867" w:rsidRDefault="003D5867" w:rsidP="003D5867">
      <w:pPr>
        <w:spacing w:line="276" w:lineRule="auto"/>
        <w:jc w:val="left"/>
        <w:rPr>
          <w:rFonts w:ascii="Arial" w:hAnsi="Arial" w:cs="Arial"/>
        </w:rPr>
      </w:pPr>
      <w:r>
        <w:rPr>
          <w:rFonts w:ascii="Arial" w:hAnsi="Arial" w:cs="Arial"/>
        </w:rPr>
        <w:t>Oprócz wydatków wymienionych w podrozdziale 2.1, dodatkowo niekwalifikowalne są:</w:t>
      </w:r>
    </w:p>
    <w:p w14:paraId="00FD2386" w14:textId="584FC5DF" w:rsidR="003D5867" w:rsidRDefault="00602483" w:rsidP="006A397A">
      <w:pPr>
        <w:pStyle w:val="Akapitzlist"/>
        <w:numPr>
          <w:ilvl w:val="0"/>
          <w:numId w:val="42"/>
        </w:numPr>
        <w:spacing w:line="276" w:lineRule="auto"/>
        <w:ind w:left="567" w:hanging="283"/>
        <w:jc w:val="left"/>
        <w:rPr>
          <w:rFonts w:ascii="Arial" w:hAnsi="Arial" w:cs="Arial"/>
        </w:rPr>
      </w:pPr>
      <w:r>
        <w:rPr>
          <w:rFonts w:ascii="Arial" w:hAnsi="Arial" w:cs="Arial"/>
        </w:rPr>
        <w:t>o</w:t>
      </w:r>
      <w:r w:rsidR="003D5867" w:rsidRPr="00035332">
        <w:rPr>
          <w:rFonts w:ascii="Arial" w:hAnsi="Arial" w:cs="Arial"/>
        </w:rPr>
        <w:t>dwodnienie i kanalizacja deszczowa (kwalifikowane do dofinansowania może być tylko odwodnienie i kanalizacja deszczowa w obrębie obiektów oczyszczalni ścieków / obiektów zaopatrzenia i uzdatniania wody, pompowni i innej infrastruktury wodno-kanalizacyjnej),</w:t>
      </w:r>
    </w:p>
    <w:p w14:paraId="0A486E00" w14:textId="77777777" w:rsidR="003D5867" w:rsidRPr="003D5867" w:rsidRDefault="003D5867" w:rsidP="006A397A">
      <w:pPr>
        <w:pStyle w:val="Akapitzlist"/>
        <w:numPr>
          <w:ilvl w:val="0"/>
          <w:numId w:val="42"/>
        </w:numPr>
        <w:spacing w:line="276" w:lineRule="auto"/>
        <w:ind w:left="567" w:hanging="283"/>
        <w:jc w:val="left"/>
        <w:rPr>
          <w:rFonts w:ascii="Arial" w:hAnsi="Arial" w:cs="Arial"/>
        </w:rPr>
      </w:pPr>
      <w:r w:rsidRPr="003D5867">
        <w:rPr>
          <w:rFonts w:ascii="Arial" w:hAnsi="Arial" w:cs="Arial"/>
        </w:rPr>
        <w:t xml:space="preserve">przyłącza kanalizacyjne (zdefiniowane w uchwale Sądu Najwyższego z dnia 22 czerwca 2017 r., sygn. akt III SZP 2/16, zgodnie z którą przyłączem kanalizacyjnym w rozumieniu art. 2 pkt 5 </w:t>
      </w:r>
      <w:r w:rsidRPr="003D5867">
        <w:rPr>
          <w:rFonts w:ascii="Arial" w:hAnsi="Arial" w:cs="Arial"/>
          <w:i/>
          <w:iCs/>
        </w:rPr>
        <w:t xml:space="preserve">ustawy z dnia 7 czerwca 2001 r. o </w:t>
      </w:r>
      <w:r w:rsidRPr="003D5867">
        <w:rPr>
          <w:rFonts w:ascii="Arial" w:hAnsi="Arial" w:cs="Arial"/>
          <w:i/>
          <w:iCs/>
        </w:rPr>
        <w:lastRenderedPageBreak/>
        <w:t>zbiorowym zaopatrzeniu w wodę i zbiorowym odprowadzaniu ścieków</w:t>
      </w:r>
      <w:r w:rsidRPr="003D5867">
        <w:rPr>
          <w:rFonts w:ascii="Arial" w:hAnsi="Arial" w:cs="Arial"/>
        </w:rPr>
        <w:t xml:space="preserve"> jest przewód łączący wewnętrzną instalację kanalizacyjną zakończoną studzienką w nieruchomości odbiorcy usług z siecią kanalizacyjną, na odcinku od studzienki do sieci kanalizacyjnej),</w:t>
      </w:r>
    </w:p>
    <w:p w14:paraId="17B0B0D3" w14:textId="77777777" w:rsidR="003D5867" w:rsidRPr="00035332" w:rsidRDefault="003D5867" w:rsidP="006A397A">
      <w:pPr>
        <w:pStyle w:val="Akapitzlist"/>
        <w:numPr>
          <w:ilvl w:val="0"/>
          <w:numId w:val="42"/>
        </w:numPr>
        <w:spacing w:after="240" w:line="276" w:lineRule="auto"/>
        <w:ind w:left="568" w:hanging="284"/>
        <w:jc w:val="left"/>
        <w:rPr>
          <w:rFonts w:ascii="Arial" w:hAnsi="Arial" w:cs="Arial"/>
        </w:rPr>
      </w:pPr>
      <w:r w:rsidRPr="00035332">
        <w:rPr>
          <w:rFonts w:ascii="Arial" w:hAnsi="Arial" w:cs="Arial"/>
        </w:rPr>
        <w:t xml:space="preserve"> przyłącza wodociągowe (przyłączem wodociągowym w rozumieniu art. 2 pkt 6 ustawy z dnia 7 czerwca 2001 r. o zbiorowym zaopatrzeniu w wodę i zbiorowym odprowadzaniu ścieków jest przewód łączący sieć wodociągową z wewnętrzną instalacją wodociągową w nieruchomości odbiorcy usług na całej swojej długości).</w:t>
      </w:r>
    </w:p>
    <w:p w14:paraId="224986DA" w14:textId="6F7D2034" w:rsidR="00E7250B" w:rsidRDefault="00E7250B" w:rsidP="00966636">
      <w:pPr>
        <w:pStyle w:val="Nagwek3"/>
        <w:spacing w:line="276" w:lineRule="auto"/>
        <w:jc w:val="left"/>
        <w:rPr>
          <w:rFonts w:cs="Arial"/>
          <w:b/>
          <w:color w:val="0070C0"/>
          <w:lang w:eastAsia="en-US"/>
        </w:rPr>
      </w:pPr>
      <w:bookmarkStart w:id="35" w:name="_Toc129602561"/>
      <w:r w:rsidRPr="0018351B">
        <w:rPr>
          <w:rFonts w:cs="Arial"/>
          <w:b/>
          <w:color w:val="0070C0"/>
          <w:lang w:eastAsia="en-US"/>
        </w:rPr>
        <w:t>2.2.</w:t>
      </w:r>
      <w:r w:rsidR="003C530A">
        <w:rPr>
          <w:rFonts w:cs="Arial"/>
          <w:b/>
          <w:color w:val="0070C0"/>
          <w:lang w:eastAsia="en-US"/>
        </w:rPr>
        <w:t>5 Działanie 2.7</w:t>
      </w:r>
      <w:r w:rsidR="0018351B" w:rsidRPr="0018351B">
        <w:rPr>
          <w:rFonts w:cs="Arial"/>
          <w:b/>
          <w:color w:val="0070C0"/>
          <w:lang w:eastAsia="en-US"/>
        </w:rPr>
        <w:t xml:space="preserve"> Gospodarka o obiegu zamkniętym</w:t>
      </w:r>
      <w:bookmarkEnd w:id="35"/>
    </w:p>
    <w:p w14:paraId="4B4E4205" w14:textId="180A4C45"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241B4B5D" w14:textId="1514D1F3" w:rsidR="00E7250B" w:rsidRDefault="00E7250B" w:rsidP="00966636">
      <w:pPr>
        <w:pStyle w:val="Nagwek3"/>
        <w:spacing w:line="276" w:lineRule="auto"/>
        <w:jc w:val="left"/>
        <w:rPr>
          <w:rFonts w:cs="Arial"/>
          <w:b/>
          <w:color w:val="0070C0"/>
          <w:lang w:eastAsia="en-US"/>
        </w:rPr>
      </w:pPr>
      <w:bookmarkStart w:id="36" w:name="_Toc129602562"/>
      <w:r w:rsidRPr="0018351B">
        <w:rPr>
          <w:rFonts w:cs="Arial"/>
          <w:b/>
          <w:color w:val="0070C0"/>
          <w:lang w:eastAsia="en-US"/>
        </w:rPr>
        <w:t>2.2.</w:t>
      </w:r>
      <w:r w:rsidR="003C530A">
        <w:rPr>
          <w:rFonts w:cs="Arial"/>
          <w:b/>
          <w:color w:val="0070C0"/>
          <w:lang w:eastAsia="en-US"/>
        </w:rPr>
        <w:t>6</w:t>
      </w:r>
      <w:r w:rsidR="0018351B" w:rsidRPr="0018351B">
        <w:rPr>
          <w:rFonts w:cs="Arial"/>
          <w:b/>
          <w:color w:val="0070C0"/>
          <w:lang w:eastAsia="en-US"/>
        </w:rPr>
        <w:t xml:space="preserve"> </w:t>
      </w:r>
      <w:r w:rsidR="003C530A">
        <w:rPr>
          <w:rFonts w:cs="Arial"/>
          <w:b/>
          <w:color w:val="0070C0"/>
          <w:lang w:eastAsia="en-US"/>
        </w:rPr>
        <w:t xml:space="preserve">Działanie </w:t>
      </w:r>
      <w:r w:rsidR="00242417">
        <w:rPr>
          <w:rFonts w:cs="Arial"/>
          <w:b/>
          <w:color w:val="0070C0"/>
          <w:lang w:eastAsia="en-US"/>
        </w:rPr>
        <w:t xml:space="preserve">2. 8 </w:t>
      </w:r>
      <w:r w:rsidR="0018351B" w:rsidRPr="0018351B">
        <w:rPr>
          <w:rFonts w:cs="Arial"/>
          <w:b/>
          <w:color w:val="0070C0"/>
          <w:lang w:eastAsia="en-US"/>
        </w:rPr>
        <w:t>Ochrona przyrody i różnorodności biologicznej</w:t>
      </w:r>
      <w:bookmarkEnd w:id="36"/>
    </w:p>
    <w:p w14:paraId="17D83B66" w14:textId="0DE405DA"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14682F52" w14:textId="50518B3A" w:rsidR="00E7250B" w:rsidRDefault="00E7250B" w:rsidP="00966636">
      <w:pPr>
        <w:pStyle w:val="Nagwek3"/>
        <w:spacing w:line="276" w:lineRule="auto"/>
        <w:jc w:val="left"/>
        <w:rPr>
          <w:rFonts w:cs="Arial"/>
          <w:b/>
          <w:color w:val="0070C0"/>
          <w:lang w:eastAsia="en-US"/>
        </w:rPr>
      </w:pPr>
      <w:bookmarkStart w:id="37" w:name="_Toc129602563"/>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7</w:t>
      </w:r>
      <w:r w:rsidR="0018351B">
        <w:rPr>
          <w:rFonts w:cs="Arial"/>
          <w:b/>
          <w:color w:val="0070C0"/>
          <w:lang w:eastAsia="en-US"/>
        </w:rPr>
        <w:t xml:space="preserve"> </w:t>
      </w:r>
      <w:r w:rsidR="00242417">
        <w:rPr>
          <w:rFonts w:cs="Arial"/>
          <w:b/>
          <w:color w:val="0070C0"/>
          <w:lang w:eastAsia="en-US"/>
        </w:rPr>
        <w:t xml:space="preserve">Działanie 3.1 </w:t>
      </w:r>
      <w:r w:rsidR="0018351B">
        <w:rPr>
          <w:rFonts w:cs="Arial"/>
          <w:b/>
          <w:color w:val="0070C0"/>
          <w:lang w:eastAsia="en-US"/>
        </w:rPr>
        <w:t>Zrównoważona mobilność miejska</w:t>
      </w:r>
      <w:bookmarkEnd w:id="37"/>
    </w:p>
    <w:p w14:paraId="5456AEBB" w14:textId="77777777" w:rsidR="00B957BF" w:rsidRPr="0018351B" w:rsidRDefault="00B957BF"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2F955E0D" w14:textId="1936B63E" w:rsidR="00E7250B" w:rsidRDefault="00E7250B" w:rsidP="00966636">
      <w:pPr>
        <w:pStyle w:val="Nagwek3"/>
        <w:spacing w:line="276" w:lineRule="auto"/>
        <w:jc w:val="left"/>
        <w:rPr>
          <w:rFonts w:cs="Arial"/>
          <w:b/>
          <w:color w:val="0070C0"/>
          <w:lang w:eastAsia="en-US"/>
        </w:rPr>
      </w:pPr>
      <w:bookmarkStart w:id="38" w:name="_Toc129602564"/>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8</w:t>
      </w:r>
      <w:r w:rsidR="0018351B">
        <w:rPr>
          <w:rFonts w:cs="Arial"/>
          <w:b/>
          <w:color w:val="0070C0"/>
          <w:lang w:eastAsia="en-US"/>
        </w:rPr>
        <w:t xml:space="preserve"> </w:t>
      </w:r>
      <w:r w:rsidR="00242417">
        <w:rPr>
          <w:rFonts w:cs="Arial"/>
          <w:b/>
          <w:color w:val="0070C0"/>
          <w:lang w:eastAsia="en-US"/>
        </w:rPr>
        <w:t xml:space="preserve">Działanie 4.1 </w:t>
      </w:r>
      <w:r w:rsidR="0018351B">
        <w:rPr>
          <w:rFonts w:cs="Arial"/>
          <w:b/>
          <w:color w:val="0070C0"/>
          <w:lang w:eastAsia="en-US"/>
        </w:rPr>
        <w:t>Drogi wojewódzkie</w:t>
      </w:r>
      <w:bookmarkEnd w:id="38"/>
      <w:r w:rsidR="0018351B">
        <w:rPr>
          <w:rFonts w:cs="Arial"/>
          <w:b/>
          <w:color w:val="0070C0"/>
          <w:lang w:eastAsia="en-US"/>
        </w:rPr>
        <w:t xml:space="preserve"> </w:t>
      </w:r>
    </w:p>
    <w:p w14:paraId="2BF97121" w14:textId="1171012F" w:rsidR="0078093E" w:rsidRPr="0078093E" w:rsidRDefault="0078093E"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030A96F3" w14:textId="06388E15" w:rsidR="00E7250B" w:rsidRDefault="00E7250B" w:rsidP="00E3659C">
      <w:pPr>
        <w:pStyle w:val="Nagwek3"/>
        <w:spacing w:line="276" w:lineRule="auto"/>
        <w:jc w:val="left"/>
        <w:rPr>
          <w:rFonts w:cs="Arial"/>
          <w:b/>
          <w:color w:val="0070C0"/>
          <w:lang w:eastAsia="en-US"/>
        </w:rPr>
      </w:pPr>
      <w:bookmarkStart w:id="39" w:name="_Toc129602565"/>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9</w:t>
      </w:r>
      <w:r w:rsidR="0018351B">
        <w:rPr>
          <w:rFonts w:cs="Arial"/>
          <w:b/>
          <w:color w:val="0070C0"/>
          <w:lang w:eastAsia="en-US"/>
        </w:rPr>
        <w:t xml:space="preserve"> </w:t>
      </w:r>
      <w:r w:rsidR="00242417">
        <w:rPr>
          <w:rFonts w:cs="Arial"/>
          <w:b/>
          <w:color w:val="0070C0"/>
          <w:lang w:eastAsia="en-US"/>
        </w:rPr>
        <w:t>Działanie 4.2</w:t>
      </w:r>
      <w:r w:rsidR="007D5787">
        <w:rPr>
          <w:rFonts w:cs="Arial"/>
          <w:b/>
          <w:color w:val="0070C0"/>
          <w:lang w:eastAsia="en-US"/>
        </w:rPr>
        <w:t xml:space="preserve"> </w:t>
      </w:r>
      <w:r w:rsidR="0018351B">
        <w:rPr>
          <w:rFonts w:cs="Arial"/>
          <w:b/>
          <w:color w:val="0070C0"/>
          <w:lang w:eastAsia="en-US"/>
        </w:rPr>
        <w:t>Tabor kolejowy</w:t>
      </w:r>
      <w:bookmarkEnd w:id="39"/>
    </w:p>
    <w:p w14:paraId="78E2AF64" w14:textId="77777777" w:rsidR="00B957BF" w:rsidRPr="0018351B" w:rsidRDefault="00B957BF" w:rsidP="00E3659C">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7A226CCF" w14:textId="312F7F6F" w:rsidR="00E7250B" w:rsidRDefault="00E7250B" w:rsidP="00E3659C">
      <w:pPr>
        <w:pStyle w:val="Nagwek3"/>
        <w:spacing w:line="276" w:lineRule="auto"/>
        <w:jc w:val="left"/>
        <w:rPr>
          <w:rFonts w:cs="Arial"/>
          <w:b/>
          <w:color w:val="0070C0"/>
          <w:lang w:eastAsia="en-US"/>
        </w:rPr>
      </w:pPr>
      <w:bookmarkStart w:id="40" w:name="_Toc129602566"/>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10</w:t>
      </w:r>
      <w:r w:rsidR="0018351B" w:rsidRPr="0018351B">
        <w:rPr>
          <w:rFonts w:cs="Arial"/>
          <w:b/>
          <w:color w:val="0070C0"/>
          <w:lang w:eastAsia="en-US"/>
        </w:rPr>
        <w:t xml:space="preserve"> </w:t>
      </w:r>
      <w:r w:rsidR="00242417">
        <w:rPr>
          <w:rFonts w:cs="Arial"/>
          <w:b/>
          <w:color w:val="0070C0"/>
          <w:lang w:eastAsia="en-US"/>
        </w:rPr>
        <w:t>Działanie 4.3</w:t>
      </w:r>
      <w:r w:rsidR="007D5787">
        <w:rPr>
          <w:rFonts w:cs="Arial"/>
          <w:b/>
          <w:color w:val="0070C0"/>
          <w:lang w:eastAsia="en-US"/>
        </w:rPr>
        <w:t xml:space="preserve"> </w:t>
      </w:r>
      <w:r w:rsidR="0018351B" w:rsidRPr="0018351B">
        <w:rPr>
          <w:rFonts w:cs="Arial"/>
          <w:b/>
          <w:color w:val="0070C0"/>
          <w:lang w:eastAsia="en-US"/>
        </w:rPr>
        <w:t>Zrównoważony transport pozamiejski</w:t>
      </w:r>
      <w:bookmarkEnd w:id="40"/>
    </w:p>
    <w:p w14:paraId="429B1B63" w14:textId="77777777" w:rsidR="00B957BF" w:rsidRPr="0018351B" w:rsidRDefault="00B957BF" w:rsidP="00E3659C">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46A3B7DF" w14:textId="41DABE67" w:rsidR="0018351B" w:rsidRDefault="0018351B" w:rsidP="00E3659C">
      <w:pPr>
        <w:pStyle w:val="Nagwek3"/>
        <w:spacing w:after="240" w:line="276" w:lineRule="auto"/>
        <w:jc w:val="left"/>
        <w:rPr>
          <w:b/>
          <w:color w:val="0070C0"/>
          <w:lang w:eastAsia="en-US"/>
        </w:rPr>
      </w:pPr>
      <w:bookmarkStart w:id="41" w:name="_Toc129602567"/>
      <w:r w:rsidRPr="0018351B">
        <w:rPr>
          <w:b/>
          <w:color w:val="0070C0"/>
          <w:lang w:eastAsia="en-US"/>
        </w:rPr>
        <w:t>2.</w:t>
      </w:r>
      <w:r w:rsidR="003C530A">
        <w:rPr>
          <w:b/>
          <w:color w:val="0070C0"/>
          <w:lang w:eastAsia="en-US"/>
        </w:rPr>
        <w:t>2</w:t>
      </w:r>
      <w:r w:rsidRPr="0018351B">
        <w:rPr>
          <w:b/>
          <w:color w:val="0070C0"/>
          <w:lang w:eastAsia="en-US"/>
        </w:rPr>
        <w:t>.1</w:t>
      </w:r>
      <w:r w:rsidR="003C530A">
        <w:rPr>
          <w:b/>
          <w:color w:val="0070C0"/>
          <w:lang w:eastAsia="en-US"/>
        </w:rPr>
        <w:t>1</w:t>
      </w:r>
      <w:r w:rsidRPr="0018351B">
        <w:rPr>
          <w:b/>
          <w:color w:val="0070C0"/>
          <w:lang w:eastAsia="en-US"/>
        </w:rPr>
        <w:t xml:space="preserve"> </w:t>
      </w:r>
      <w:r w:rsidR="00242417">
        <w:rPr>
          <w:b/>
          <w:color w:val="0070C0"/>
          <w:lang w:eastAsia="en-US"/>
        </w:rPr>
        <w:t xml:space="preserve">Działanie 5.1 </w:t>
      </w:r>
      <w:r w:rsidRPr="0018351B">
        <w:rPr>
          <w:b/>
          <w:color w:val="0070C0"/>
          <w:lang w:eastAsia="en-US"/>
        </w:rPr>
        <w:t>Edukacja</w:t>
      </w:r>
      <w:bookmarkEnd w:id="41"/>
    </w:p>
    <w:p w14:paraId="1A16482E" w14:textId="6A0FFC8D" w:rsidR="00E3659C" w:rsidRDefault="00E3659C" w:rsidP="00E3659C">
      <w:pPr>
        <w:spacing w:line="276" w:lineRule="auto"/>
        <w:jc w:val="left"/>
        <w:rPr>
          <w:rFonts w:ascii="Arial" w:hAnsi="Arial" w:cs="Arial"/>
          <w:b/>
          <w:lang w:eastAsia="en-US"/>
        </w:rPr>
      </w:pPr>
      <w:r>
        <w:rPr>
          <w:rFonts w:ascii="Arial" w:hAnsi="Arial" w:cs="Arial"/>
          <w:b/>
          <w:lang w:eastAsia="en-US"/>
        </w:rPr>
        <w:t>INFRASTRUKTURA PRZEDSZKOLNA</w:t>
      </w:r>
    </w:p>
    <w:p w14:paraId="280F8C45" w14:textId="654EC632"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SZKOLNICTWA OGÓLNEGO</w:t>
      </w:r>
    </w:p>
    <w:p w14:paraId="7784F30D" w14:textId="77777777" w:rsidR="00E3659C" w:rsidRPr="00E3659C" w:rsidRDefault="00E3659C" w:rsidP="00E3659C">
      <w:pPr>
        <w:spacing w:after="240" w:line="276" w:lineRule="auto"/>
        <w:jc w:val="left"/>
        <w:rPr>
          <w:rFonts w:ascii="Arial" w:hAnsi="Arial" w:cs="Arial"/>
          <w:b/>
        </w:rPr>
      </w:pPr>
      <w:r w:rsidRPr="00E3659C">
        <w:rPr>
          <w:rFonts w:ascii="Arial" w:hAnsi="Arial" w:cs="Arial"/>
          <w:b/>
        </w:rPr>
        <w:t>INFRASTRUKTURA SZKOLNICTWA ZAWODOWEGO (W TYM WYŻSZEGO ZAWODOWEGO) ORAZ UCZELNI AKADEMICKICH</w:t>
      </w:r>
    </w:p>
    <w:p w14:paraId="6DFF2126" w14:textId="77777777" w:rsidR="00966636" w:rsidRPr="003D5867" w:rsidRDefault="00966636" w:rsidP="00E3659C">
      <w:pPr>
        <w:spacing w:line="276" w:lineRule="auto"/>
        <w:jc w:val="left"/>
        <w:rPr>
          <w:rFonts w:ascii="Arial" w:hAnsi="Arial" w:cs="Arial"/>
        </w:rPr>
      </w:pPr>
      <w:r>
        <w:rPr>
          <w:rFonts w:ascii="Arial" w:hAnsi="Arial" w:cs="Arial"/>
        </w:rPr>
        <w:t>Oprócz wydatków wymienionych w podrozdziale 2.1, dodatkowo niekwalifikowalne są:</w:t>
      </w:r>
    </w:p>
    <w:p w14:paraId="4E818E8A" w14:textId="48BC4528" w:rsidR="00966636" w:rsidRPr="00035332" w:rsidRDefault="00966636" w:rsidP="006A397A">
      <w:pPr>
        <w:pStyle w:val="Akapitzlist"/>
        <w:numPr>
          <w:ilvl w:val="0"/>
          <w:numId w:val="43"/>
        </w:numPr>
        <w:suppressAutoHyphens w:val="0"/>
        <w:spacing w:line="276" w:lineRule="auto"/>
        <w:ind w:left="426" w:hanging="284"/>
        <w:jc w:val="left"/>
        <w:rPr>
          <w:rFonts w:ascii="Arial" w:hAnsi="Arial" w:cs="Arial"/>
        </w:rPr>
      </w:pPr>
      <w:r w:rsidRPr="00035332">
        <w:rPr>
          <w:rFonts w:ascii="Arial" w:hAnsi="Arial" w:cs="Arial"/>
        </w:rPr>
        <w:t>wydatki na infrastrukturę sportową (wykluczenie dotyczy wyłącznie infrastruktury przedszkolnej),</w:t>
      </w:r>
    </w:p>
    <w:p w14:paraId="24E1F834" w14:textId="78B122AB" w:rsidR="00966636" w:rsidRPr="00966636" w:rsidRDefault="00966636" w:rsidP="006A397A">
      <w:pPr>
        <w:pStyle w:val="Akapitzlist"/>
        <w:numPr>
          <w:ilvl w:val="0"/>
          <w:numId w:val="43"/>
        </w:numPr>
        <w:suppressAutoHyphens w:val="0"/>
        <w:spacing w:after="240" w:line="276" w:lineRule="auto"/>
        <w:ind w:left="426" w:hanging="284"/>
        <w:jc w:val="left"/>
        <w:rPr>
          <w:lang w:eastAsia="en-US"/>
        </w:rPr>
      </w:pPr>
      <w:r w:rsidRPr="00966636">
        <w:rPr>
          <w:rFonts w:ascii="Arial" w:hAnsi="Arial" w:cs="Arial"/>
        </w:rPr>
        <w:t>poprawa wydajności energetycznej jako samodzielny projekt (wydatki na poprawę efektywności energetycznej mogą stanowić jedynie element szerszego projektu i muszą być wprost powiązane z głównym przedmiotem projektu).</w:t>
      </w:r>
    </w:p>
    <w:p w14:paraId="6F112A75" w14:textId="60F310F0" w:rsidR="0018351B" w:rsidRDefault="0018351B" w:rsidP="00966636">
      <w:pPr>
        <w:pStyle w:val="Nagwek3"/>
        <w:spacing w:line="276" w:lineRule="auto"/>
        <w:jc w:val="left"/>
        <w:rPr>
          <w:b/>
          <w:color w:val="0070C0"/>
          <w:lang w:eastAsia="en-US"/>
        </w:rPr>
      </w:pPr>
      <w:bookmarkStart w:id="42" w:name="_Toc129602568"/>
      <w:r w:rsidRPr="0018351B">
        <w:rPr>
          <w:b/>
          <w:color w:val="0070C0"/>
          <w:lang w:eastAsia="en-US"/>
        </w:rPr>
        <w:lastRenderedPageBreak/>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2 </w:t>
      </w:r>
      <w:r w:rsidR="00242417">
        <w:rPr>
          <w:b/>
          <w:color w:val="0070C0"/>
          <w:lang w:eastAsia="en-US"/>
        </w:rPr>
        <w:t xml:space="preserve">Działanie 5.2 </w:t>
      </w:r>
      <w:r w:rsidRPr="0018351B">
        <w:rPr>
          <w:b/>
          <w:color w:val="0070C0"/>
          <w:lang w:eastAsia="en-US"/>
        </w:rPr>
        <w:t>Włączenie społeczne</w:t>
      </w:r>
      <w:bookmarkEnd w:id="42"/>
    </w:p>
    <w:p w14:paraId="4AE55954"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C84675E" w14:textId="63FDFCA2" w:rsidR="0018351B" w:rsidRDefault="0018351B" w:rsidP="003D5867">
      <w:pPr>
        <w:pStyle w:val="Nagwek3"/>
        <w:spacing w:line="276" w:lineRule="auto"/>
        <w:jc w:val="left"/>
        <w:rPr>
          <w:b/>
          <w:color w:val="0070C0"/>
          <w:lang w:eastAsia="en-US"/>
        </w:rPr>
      </w:pPr>
      <w:bookmarkStart w:id="43" w:name="_Toc129602569"/>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3 </w:t>
      </w:r>
      <w:r w:rsidR="00242417">
        <w:rPr>
          <w:b/>
          <w:color w:val="0070C0"/>
          <w:lang w:eastAsia="en-US"/>
        </w:rPr>
        <w:t xml:space="preserve">Działanie 5.3 </w:t>
      </w:r>
      <w:r w:rsidRPr="0018351B">
        <w:rPr>
          <w:b/>
          <w:color w:val="0070C0"/>
          <w:lang w:eastAsia="en-US"/>
        </w:rPr>
        <w:t>Dostępność</w:t>
      </w:r>
      <w:bookmarkEnd w:id="43"/>
    </w:p>
    <w:p w14:paraId="770BC31D"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4331877C" w14:textId="096B5AF2" w:rsidR="0018351B" w:rsidRDefault="0018351B" w:rsidP="003D5867">
      <w:pPr>
        <w:pStyle w:val="Nagwek3"/>
        <w:spacing w:line="276" w:lineRule="auto"/>
        <w:jc w:val="left"/>
        <w:rPr>
          <w:b/>
          <w:color w:val="0070C0"/>
          <w:lang w:eastAsia="en-US"/>
        </w:rPr>
      </w:pPr>
      <w:bookmarkStart w:id="44" w:name="_Toc129602570"/>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4 </w:t>
      </w:r>
      <w:r w:rsidR="00242417">
        <w:rPr>
          <w:b/>
          <w:color w:val="0070C0"/>
          <w:lang w:eastAsia="en-US"/>
        </w:rPr>
        <w:t xml:space="preserve">Działanie 5.4 </w:t>
      </w:r>
      <w:r w:rsidRPr="0018351B">
        <w:rPr>
          <w:b/>
          <w:color w:val="0070C0"/>
          <w:lang w:eastAsia="en-US"/>
        </w:rPr>
        <w:t>Ochrona zdrowia</w:t>
      </w:r>
      <w:bookmarkEnd w:id="44"/>
    </w:p>
    <w:p w14:paraId="62B1F740"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2FD554C" w14:textId="174E64C2" w:rsidR="0018351B" w:rsidRDefault="0018351B" w:rsidP="003D5867">
      <w:pPr>
        <w:pStyle w:val="Nagwek3"/>
        <w:spacing w:line="276" w:lineRule="auto"/>
        <w:jc w:val="left"/>
        <w:rPr>
          <w:b/>
          <w:color w:val="0070C0"/>
          <w:lang w:eastAsia="en-US"/>
        </w:rPr>
      </w:pPr>
      <w:bookmarkStart w:id="45" w:name="_Toc129602571"/>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5 </w:t>
      </w:r>
      <w:r w:rsidR="00242417">
        <w:rPr>
          <w:b/>
          <w:color w:val="0070C0"/>
          <w:lang w:eastAsia="en-US"/>
        </w:rPr>
        <w:t xml:space="preserve">Działanie 5.5 </w:t>
      </w:r>
      <w:r w:rsidRPr="0018351B">
        <w:rPr>
          <w:b/>
          <w:color w:val="0070C0"/>
          <w:lang w:eastAsia="en-US"/>
        </w:rPr>
        <w:t>Kultura</w:t>
      </w:r>
      <w:bookmarkEnd w:id="45"/>
    </w:p>
    <w:p w14:paraId="7583D9BE"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756E8DD9" w14:textId="1FACD4FB" w:rsidR="00966636" w:rsidRPr="00966636" w:rsidRDefault="0018351B" w:rsidP="00966636">
      <w:pPr>
        <w:pStyle w:val="Nagwek3"/>
        <w:spacing w:line="276" w:lineRule="auto"/>
        <w:jc w:val="left"/>
        <w:rPr>
          <w:b/>
          <w:color w:val="0070C0"/>
          <w:lang w:eastAsia="en-US"/>
        </w:rPr>
      </w:pPr>
      <w:bookmarkStart w:id="46" w:name="_Toc129602572"/>
      <w:r w:rsidRPr="0018351B">
        <w:rPr>
          <w:b/>
          <w:color w:val="0070C0"/>
          <w:lang w:eastAsia="en-US"/>
        </w:rPr>
        <w:t>2.</w:t>
      </w:r>
      <w:r w:rsidR="003C530A">
        <w:rPr>
          <w:b/>
          <w:color w:val="0070C0"/>
          <w:lang w:eastAsia="en-US"/>
        </w:rPr>
        <w:t>1</w:t>
      </w:r>
      <w:r w:rsidRPr="0018351B">
        <w:rPr>
          <w:b/>
          <w:color w:val="0070C0"/>
          <w:lang w:eastAsia="en-US"/>
        </w:rPr>
        <w:t>.</w:t>
      </w:r>
      <w:r w:rsidR="003C530A">
        <w:rPr>
          <w:b/>
          <w:color w:val="0070C0"/>
          <w:lang w:eastAsia="en-US"/>
        </w:rPr>
        <w:t>1</w:t>
      </w:r>
      <w:r w:rsidRPr="0018351B">
        <w:rPr>
          <w:b/>
          <w:color w:val="0070C0"/>
          <w:lang w:eastAsia="en-US"/>
        </w:rPr>
        <w:t xml:space="preserve">6 </w:t>
      </w:r>
      <w:r w:rsidR="00242417">
        <w:rPr>
          <w:b/>
          <w:color w:val="0070C0"/>
          <w:lang w:eastAsia="en-US"/>
        </w:rPr>
        <w:t xml:space="preserve">Działanie 5.6 </w:t>
      </w:r>
      <w:r w:rsidRPr="0018351B">
        <w:rPr>
          <w:b/>
          <w:color w:val="0070C0"/>
          <w:lang w:eastAsia="en-US"/>
        </w:rPr>
        <w:t>Szlaki turystyczne</w:t>
      </w:r>
      <w:bookmarkEnd w:id="46"/>
    </w:p>
    <w:p w14:paraId="433DA0C4" w14:textId="77777777" w:rsidR="00B957BF" w:rsidRPr="0018351B" w:rsidRDefault="00B957BF" w:rsidP="003D5867">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3C00938C" w14:textId="0BA13D29" w:rsidR="0018351B" w:rsidRDefault="0018351B" w:rsidP="003D5867">
      <w:pPr>
        <w:pStyle w:val="Nagwek3"/>
        <w:spacing w:line="276" w:lineRule="auto"/>
        <w:jc w:val="left"/>
        <w:rPr>
          <w:b/>
          <w:color w:val="0070C0"/>
          <w:lang w:eastAsia="en-US"/>
        </w:rPr>
      </w:pPr>
      <w:bookmarkStart w:id="47" w:name="_Toc129602573"/>
      <w:r w:rsidRPr="0018351B">
        <w:rPr>
          <w:b/>
          <w:color w:val="0070C0"/>
          <w:lang w:eastAsia="en-US"/>
        </w:rPr>
        <w:t>2.</w:t>
      </w:r>
      <w:r w:rsidR="003C530A">
        <w:rPr>
          <w:b/>
          <w:color w:val="0070C0"/>
          <w:lang w:eastAsia="en-US"/>
        </w:rPr>
        <w:t>2</w:t>
      </w:r>
      <w:r w:rsidRPr="0018351B">
        <w:rPr>
          <w:b/>
          <w:color w:val="0070C0"/>
          <w:lang w:eastAsia="en-US"/>
        </w:rPr>
        <w:t>.1</w:t>
      </w:r>
      <w:r w:rsidR="003C530A">
        <w:rPr>
          <w:b/>
          <w:color w:val="0070C0"/>
          <w:lang w:eastAsia="en-US"/>
        </w:rPr>
        <w:t>7</w:t>
      </w:r>
      <w:r w:rsidRPr="0018351B">
        <w:rPr>
          <w:b/>
          <w:color w:val="0070C0"/>
          <w:lang w:eastAsia="en-US"/>
        </w:rPr>
        <w:t xml:space="preserve"> </w:t>
      </w:r>
      <w:r w:rsidR="00242417">
        <w:rPr>
          <w:b/>
          <w:color w:val="0070C0"/>
          <w:lang w:eastAsia="en-US"/>
        </w:rPr>
        <w:t xml:space="preserve">Działanie 6.1 </w:t>
      </w:r>
      <w:r w:rsidRPr="0018351B">
        <w:rPr>
          <w:b/>
          <w:color w:val="0070C0"/>
          <w:lang w:eastAsia="en-US"/>
        </w:rPr>
        <w:t>Zrównoważony rozwój miejskich obszarów funkcjonalnych</w:t>
      </w:r>
      <w:bookmarkEnd w:id="47"/>
    </w:p>
    <w:p w14:paraId="08799E4C" w14:textId="77777777" w:rsidR="00B957BF" w:rsidRPr="0018351B" w:rsidRDefault="00B957BF" w:rsidP="003D5867">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AA5E78E" w14:textId="052607ED" w:rsidR="0018351B" w:rsidRPr="0018351B" w:rsidRDefault="0018351B" w:rsidP="003D5867">
      <w:pPr>
        <w:pStyle w:val="Nagwek3"/>
        <w:spacing w:line="276" w:lineRule="auto"/>
        <w:jc w:val="left"/>
        <w:rPr>
          <w:b/>
          <w:color w:val="0070C0"/>
          <w:lang w:eastAsia="en-US"/>
        </w:rPr>
      </w:pPr>
      <w:bookmarkStart w:id="48" w:name="_Toc129602574"/>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18</w:t>
      </w:r>
      <w:r w:rsidRPr="0018351B">
        <w:rPr>
          <w:b/>
          <w:color w:val="0070C0"/>
          <w:lang w:eastAsia="en-US"/>
        </w:rPr>
        <w:t xml:space="preserve"> </w:t>
      </w:r>
      <w:r w:rsidR="00242417">
        <w:rPr>
          <w:b/>
          <w:color w:val="0070C0"/>
          <w:lang w:eastAsia="en-US"/>
        </w:rPr>
        <w:t xml:space="preserve">Działanie 6.2 </w:t>
      </w:r>
      <w:r w:rsidRPr="0018351B">
        <w:rPr>
          <w:b/>
          <w:color w:val="0070C0"/>
          <w:lang w:eastAsia="en-US"/>
        </w:rPr>
        <w:t>Zrównoważony rozwój obszarów wiejskich i małych miast</w:t>
      </w:r>
      <w:bookmarkEnd w:id="48"/>
    </w:p>
    <w:p w14:paraId="5AAEDAC8" w14:textId="77777777" w:rsidR="00B957BF" w:rsidRPr="0018351B" w:rsidRDefault="00B957BF" w:rsidP="003D5867">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sectPr w:rsidR="00B957BF" w:rsidRPr="0018351B" w:rsidSect="00181A6A">
      <w:footerReference w:type="default" r:id="rId9"/>
      <w:pgSz w:w="11906" w:h="16838"/>
      <w:pgMar w:top="1258" w:right="1417" w:bottom="1418" w:left="1417" w:header="708" w:footer="708"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7225" w16cex:dateUtc="2023-02-16T08:13:00Z"/>
  <w16cex:commentExtensible w16cex:durableId="279DF5D8" w16cex:dateUtc="2023-02-20T12:36:00Z"/>
  <w16cex:commentExtensible w16cex:durableId="279881B8" w16cex:dateUtc="2023-02-16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6E59" w14:textId="77777777" w:rsidR="00367CD9" w:rsidRDefault="00367CD9">
      <w:pPr>
        <w:spacing w:line="240" w:lineRule="auto"/>
      </w:pPr>
      <w:r>
        <w:separator/>
      </w:r>
    </w:p>
  </w:endnote>
  <w:endnote w:type="continuationSeparator" w:id="0">
    <w:p w14:paraId="305400C4" w14:textId="77777777" w:rsidR="00367CD9" w:rsidRDefault="00367CD9">
      <w:pPr>
        <w:spacing w:line="240" w:lineRule="auto"/>
      </w:pPr>
      <w:r>
        <w:continuationSeparator/>
      </w:r>
    </w:p>
  </w:endnote>
  <w:endnote w:type="continuationNotice" w:id="1">
    <w:p w14:paraId="33A9CE5A" w14:textId="77777777" w:rsidR="00367CD9" w:rsidRDefault="00367C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Yu Gothic"/>
    <w:charset w:val="80"/>
    <w:family w:val="auto"/>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21867"/>
      <w:docPartObj>
        <w:docPartGallery w:val="Page Numbers (Bottom of Page)"/>
        <w:docPartUnique/>
      </w:docPartObj>
    </w:sdtPr>
    <w:sdtEndPr/>
    <w:sdtContent>
      <w:p w14:paraId="2A180AF8" w14:textId="27F91710" w:rsidR="00CF0516" w:rsidRDefault="00CF0516">
        <w:pPr>
          <w:pStyle w:val="Stopka"/>
          <w:jc w:val="center"/>
        </w:pPr>
        <w:r>
          <w:fldChar w:fldCharType="begin"/>
        </w:r>
        <w:r>
          <w:instrText>PAGE   \* MERGEFORMAT</w:instrText>
        </w:r>
        <w:r>
          <w:fldChar w:fldCharType="separate"/>
        </w:r>
        <w:r>
          <w:rPr>
            <w:noProof/>
          </w:rPr>
          <w:t>21</w:t>
        </w:r>
        <w:r>
          <w:fldChar w:fldCharType="end"/>
        </w:r>
      </w:p>
    </w:sdtContent>
  </w:sdt>
  <w:p w14:paraId="00D4BFD7" w14:textId="77777777" w:rsidR="00CF0516" w:rsidRDefault="00CF0516">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1359" w14:textId="77777777" w:rsidR="00367CD9" w:rsidRDefault="00367CD9">
      <w:pPr>
        <w:spacing w:line="240" w:lineRule="auto"/>
      </w:pPr>
      <w:r>
        <w:rPr>
          <w:color w:val="000000"/>
        </w:rPr>
        <w:separator/>
      </w:r>
    </w:p>
  </w:footnote>
  <w:footnote w:type="continuationSeparator" w:id="0">
    <w:p w14:paraId="797F0B4F" w14:textId="77777777" w:rsidR="00367CD9" w:rsidRDefault="00367CD9">
      <w:pPr>
        <w:spacing w:line="240" w:lineRule="auto"/>
      </w:pPr>
      <w:r>
        <w:continuationSeparator/>
      </w:r>
    </w:p>
  </w:footnote>
  <w:footnote w:type="continuationNotice" w:id="1">
    <w:p w14:paraId="04D29388" w14:textId="77777777" w:rsidR="00367CD9" w:rsidRDefault="00367CD9">
      <w:pPr>
        <w:spacing w:line="240" w:lineRule="auto"/>
      </w:pPr>
    </w:p>
  </w:footnote>
  <w:footnote w:id="2">
    <w:p w14:paraId="286C32F0" w14:textId="7C4EF990" w:rsidR="00CF0516" w:rsidRPr="00357261" w:rsidRDefault="00CF0516" w:rsidP="00030580">
      <w:pPr>
        <w:pStyle w:val="Tekstprzypisudolnego"/>
        <w:spacing w:line="240" w:lineRule="auto"/>
        <w:jc w:val="left"/>
        <w:rPr>
          <w:rFonts w:ascii="Arial" w:hAnsi="Arial" w:cs="Arial"/>
          <w:sz w:val="16"/>
          <w:szCs w:val="16"/>
        </w:rPr>
      </w:pPr>
      <w:r w:rsidRPr="00357261">
        <w:rPr>
          <w:rStyle w:val="Odwoanieprzypisudolnego"/>
          <w:rFonts w:ascii="Arial" w:hAnsi="Arial" w:cs="Arial"/>
          <w:sz w:val="16"/>
          <w:szCs w:val="16"/>
        </w:rPr>
        <w:footnoteRef/>
      </w:r>
      <w:r w:rsidRPr="00357261">
        <w:rPr>
          <w:rFonts w:ascii="Arial" w:hAnsi="Arial" w:cs="Arial"/>
          <w:sz w:val="16"/>
          <w:szCs w:val="16"/>
        </w:rPr>
        <w:t xml:space="preserve">Przez </w:t>
      </w:r>
      <w:r w:rsidRPr="00357261">
        <w:rPr>
          <w:rFonts w:ascii="Arial" w:hAnsi="Arial" w:cs="Arial"/>
          <w:b/>
          <w:bCs/>
          <w:sz w:val="16"/>
          <w:szCs w:val="16"/>
        </w:rPr>
        <w:t xml:space="preserve">umowę na roboty budowlane </w:t>
      </w:r>
      <w:r w:rsidRPr="00357261">
        <w:rPr>
          <w:rFonts w:ascii="Arial" w:hAnsi="Arial" w:cs="Arial"/>
          <w:sz w:val="16"/>
          <w:szCs w:val="16"/>
        </w:rPr>
        <w:t>należy rozumieć umowę, w której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Ponadto, umowa na roboty budowlane winna zobowiązywać wykonawcę również do zapewnienia niezbędnych materiałów budowlanych związanych z budową obiektu będącego przedmiotem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727"/>
    <w:multiLevelType w:val="multilevel"/>
    <w:tmpl w:val="D3A056D6"/>
    <w:styleLink w:val="WWOutlineListStyle5"/>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276F92"/>
    <w:multiLevelType w:val="multilevel"/>
    <w:tmpl w:val="3FDC4FE8"/>
    <w:lvl w:ilvl="0">
      <w:start w:val="1"/>
      <w:numFmt w:val="decimal"/>
      <w:lvlText w:val="%1."/>
      <w:lvlJc w:val="left"/>
      <w:pPr>
        <w:ind w:left="644" w:hanging="360"/>
      </w:pPr>
      <w:rPr>
        <w:rFonts w:ascii="Arial" w:hAnsi="Arial" w:cs="Arial"/>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149A2"/>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0869C9"/>
    <w:multiLevelType w:val="multilevel"/>
    <w:tmpl w:val="32962DAE"/>
    <w:styleLink w:val="WWOutlineListStyle1"/>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3F91D4C"/>
    <w:multiLevelType w:val="multilevel"/>
    <w:tmpl w:val="326EEB2E"/>
    <w:styleLink w:val="LFO5"/>
    <w:lvl w:ilvl="0">
      <w:start w:val="1"/>
      <w:numFmt w:val="decimal"/>
      <w:pStyle w:val="Wcicie"/>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4C115FF"/>
    <w:multiLevelType w:val="hybridMultilevel"/>
    <w:tmpl w:val="EC0AE0D4"/>
    <w:lvl w:ilvl="0" w:tplc="D5A000C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3D485F"/>
    <w:multiLevelType w:val="multilevel"/>
    <w:tmpl w:val="5C746722"/>
    <w:styleLink w:val="LFO3"/>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2045AF"/>
    <w:multiLevelType w:val="multilevel"/>
    <w:tmpl w:val="19BE0ABA"/>
    <w:styleLink w:val="WWOutlineListStyle12"/>
    <w:lvl w:ilvl="0">
      <w:start w:val="1"/>
      <w:numFmt w:val="none"/>
      <w:lvlText w:val="%1"/>
      <w:lvlJc w:val="left"/>
    </w:lvl>
    <w:lvl w:ilvl="1">
      <w:start w:val="1"/>
      <w:numFmt w:val="decimal"/>
      <w:pStyle w:val="Nagwek2"/>
      <w:lvlText w:val="%2."/>
      <w:lvlJc w:val="left"/>
      <w:pPr>
        <w:ind w:left="360" w:hanging="360"/>
      </w:pPr>
      <w:rPr>
        <w:color w:val="auto"/>
      </w:rPr>
    </w:lvl>
    <w:lvl w:ilvl="2">
      <w:start w:val="1"/>
      <w:numFmt w:val="none"/>
      <w:lvlText w:val="%3"/>
      <w:lvlJc w:val="left"/>
    </w:lvl>
    <w:lvl w:ilvl="3">
      <w:start w:val="1"/>
      <w:numFmt w:val="decimal"/>
      <w:pStyle w:val="Nagwek4"/>
      <w:lvlText w:val="%1.%2.%3.%4"/>
      <w:lvlJc w:val="left"/>
      <w:pPr>
        <w:ind w:left="4692" w:hanging="864"/>
      </w:pPr>
      <w:rPr>
        <w:rFonts w:ascii="Arial" w:hAnsi="Arial"/>
        <w:b w:val="0"/>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0B3057D1"/>
    <w:multiLevelType w:val="hybridMultilevel"/>
    <w:tmpl w:val="1F3C9AF8"/>
    <w:lvl w:ilvl="0" w:tplc="BCE076A4">
      <w:start w:val="1"/>
      <w:numFmt w:val="lowerLetter"/>
      <w:lvlText w:val="%1)"/>
      <w:lvlJc w:val="left"/>
      <w:pPr>
        <w:ind w:left="1146" w:hanging="360"/>
      </w:pPr>
      <w:rPr>
        <w:rFonts w:ascii="Arial" w:hAnsi="Arial" w:cs="Arial" w:hint="default"/>
        <w:b w:val="0"/>
        <w:bCs w:val="0"/>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E8371C5"/>
    <w:multiLevelType w:val="hybridMultilevel"/>
    <w:tmpl w:val="B47A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1273B4A"/>
    <w:multiLevelType w:val="multilevel"/>
    <w:tmpl w:val="A75E651A"/>
    <w:styleLink w:val="LFO1"/>
    <w:lvl w:ilvl="0">
      <w:start w:val="1"/>
      <w:numFmt w:val="decimal"/>
      <w:pStyle w:val="Point0number"/>
      <w:lvlText w:val="(%1)"/>
      <w:lvlJc w:val="left"/>
      <w:pPr>
        <w:ind w:left="850" w:hanging="850"/>
      </w:pPr>
    </w:lvl>
    <w:lvl w:ilvl="1">
      <w:start w:val="1"/>
      <w:numFmt w:val="lowerLetter"/>
      <w:lvlText w:val="(%2)"/>
      <w:lvlJc w:val="left"/>
      <w:pPr>
        <w:ind w:left="850" w:hanging="850"/>
      </w:pPr>
    </w:lvl>
    <w:lvl w:ilvl="2">
      <w:start w:val="1"/>
      <w:numFmt w:val="decimal"/>
      <w:lvlText w:val="(%3)"/>
      <w:lvlJc w:val="left"/>
      <w:pPr>
        <w:ind w:left="1417" w:hanging="567"/>
      </w:pPr>
    </w:lvl>
    <w:lvl w:ilvl="3">
      <w:start w:val="1"/>
      <w:numFmt w:val="lowerLetter"/>
      <w:lvlText w:val="%4)"/>
      <w:lvlJc w:val="left"/>
      <w:pPr>
        <w:ind w:left="1210" w:hanging="360"/>
      </w:pPr>
      <w:rPr>
        <w:rFonts w:ascii="Arial" w:hAnsi="Arial" w:cs="Arial"/>
        <w:b w:val="0"/>
      </w:r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11" w15:restartNumberingAfterBreak="0">
    <w:nsid w:val="14F6573E"/>
    <w:multiLevelType w:val="hybridMultilevel"/>
    <w:tmpl w:val="46069F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A9B6902"/>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D9580D"/>
    <w:multiLevelType w:val="hybridMultilevel"/>
    <w:tmpl w:val="67325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18D4A17"/>
    <w:multiLevelType w:val="hybridMultilevel"/>
    <w:tmpl w:val="DD8AA344"/>
    <w:lvl w:ilvl="0" w:tplc="04150001">
      <w:start w:val="1"/>
      <w:numFmt w:val="bullet"/>
      <w:lvlText w:val=""/>
      <w:lvlJc w:val="left"/>
      <w:pPr>
        <w:ind w:left="720" w:hanging="360"/>
      </w:pPr>
      <w:rPr>
        <w:rFonts w:ascii="Symbol" w:hAnsi="Symbol" w:hint="default"/>
      </w:rPr>
    </w:lvl>
    <w:lvl w:ilvl="1" w:tplc="DA80F8E8">
      <w:numFmt w:val="bullet"/>
      <w:lvlText w:val="•"/>
      <w:lvlJc w:val="left"/>
      <w:pPr>
        <w:ind w:left="1440" w:hanging="360"/>
      </w:pPr>
      <w:rPr>
        <w:rFonts w:ascii="Arial" w:eastAsiaTheme="minorHAnsi" w:hAnsi="Aria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4982485"/>
    <w:multiLevelType w:val="multilevel"/>
    <w:tmpl w:val="61FEDF0E"/>
    <w:styleLink w:val="WWOutlineListStyle9"/>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CB0220A"/>
    <w:multiLevelType w:val="multilevel"/>
    <w:tmpl w:val="31A286C4"/>
    <w:styleLink w:val="WWOutlineListStyle3"/>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0C073B8"/>
    <w:multiLevelType w:val="hybridMultilevel"/>
    <w:tmpl w:val="32762670"/>
    <w:lvl w:ilvl="0" w:tplc="0415000F">
      <w:start w:val="1"/>
      <w:numFmt w:val="decimal"/>
      <w:lvlText w:val="%1."/>
      <w:lvlJc w:val="left"/>
      <w:pPr>
        <w:ind w:left="1440" w:hanging="360"/>
      </w:pPr>
      <w:rPr>
        <w:rFonts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4434E6"/>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E7438A0"/>
    <w:multiLevelType w:val="multilevel"/>
    <w:tmpl w:val="07408572"/>
    <w:styleLink w:val="WWOutlineListStyle6"/>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A26A63"/>
    <w:multiLevelType w:val="hybridMultilevel"/>
    <w:tmpl w:val="35882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3A43F6C"/>
    <w:multiLevelType w:val="hybridMultilevel"/>
    <w:tmpl w:val="8B384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25D38"/>
    <w:multiLevelType w:val="hybridMultilevel"/>
    <w:tmpl w:val="B268E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46626B"/>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CC32052"/>
    <w:multiLevelType w:val="hybridMultilevel"/>
    <w:tmpl w:val="39B8D5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2596EC0"/>
    <w:multiLevelType w:val="hybridMultilevel"/>
    <w:tmpl w:val="EBE0AD68"/>
    <w:lvl w:ilvl="0" w:tplc="FFFFFFFF">
      <w:start w:val="1"/>
      <w:numFmt w:val="decimal"/>
      <w:lvlText w:val="%1)"/>
      <w:lvlJc w:val="left"/>
      <w:pPr>
        <w:ind w:left="360" w:hanging="360"/>
      </w:pPr>
      <w:rPr>
        <w:rFonts w:hint="default"/>
      </w:rPr>
    </w:lvl>
    <w:lvl w:ilvl="1" w:tplc="FFFFFFFF">
      <w:start w:val="1"/>
      <w:numFmt w:val="lowerLetter"/>
      <w:lvlText w:val="%2)"/>
      <w:lvlJc w:val="left"/>
      <w:pPr>
        <w:ind w:left="720" w:hanging="360"/>
      </w:pPr>
      <w:rPr>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7DB2566"/>
    <w:multiLevelType w:val="multilevel"/>
    <w:tmpl w:val="E2B601BC"/>
    <w:styleLink w:val="WWOutlineListStyle2"/>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020F20"/>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EB23BA"/>
    <w:multiLevelType w:val="multilevel"/>
    <w:tmpl w:val="9D868796"/>
    <w:styleLink w:val="WWOutlineListStyle8"/>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B604613"/>
    <w:multiLevelType w:val="hybridMultilevel"/>
    <w:tmpl w:val="6AF6DA1C"/>
    <w:lvl w:ilvl="0" w:tplc="1B82B8C4">
      <w:start w:val="1"/>
      <w:numFmt w:val="lowerLetter"/>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E9A05ED"/>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1" w15:restartNumberingAfterBreak="0">
    <w:nsid w:val="64933AB0"/>
    <w:multiLevelType w:val="multilevel"/>
    <w:tmpl w:val="79808216"/>
    <w:styleLink w:val="WWOutlineListStyle"/>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5582357"/>
    <w:multiLevelType w:val="hybridMultilevel"/>
    <w:tmpl w:val="12DABC98"/>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74C0A80"/>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4" w15:restartNumberingAfterBreak="0">
    <w:nsid w:val="6849160B"/>
    <w:multiLevelType w:val="multilevel"/>
    <w:tmpl w:val="CAD006C4"/>
    <w:styleLink w:val="WWOutlineListStyle11"/>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9274F0C"/>
    <w:multiLevelType w:val="hybridMultilevel"/>
    <w:tmpl w:val="8CD40BE2"/>
    <w:lvl w:ilvl="0" w:tplc="352659AE">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A7E3495"/>
    <w:multiLevelType w:val="hybridMultilevel"/>
    <w:tmpl w:val="F5E86EA4"/>
    <w:lvl w:ilvl="0" w:tplc="F61C129A">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93340D"/>
    <w:multiLevelType w:val="hybridMultilevel"/>
    <w:tmpl w:val="46F21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1D7BCE"/>
    <w:multiLevelType w:val="hybridMultilevel"/>
    <w:tmpl w:val="E6C21DAC"/>
    <w:lvl w:ilvl="0" w:tplc="4AFE4AD4">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39" w15:restartNumberingAfterBreak="0">
    <w:nsid w:val="70971CD6"/>
    <w:multiLevelType w:val="multilevel"/>
    <w:tmpl w:val="0226E3BC"/>
    <w:styleLink w:val="WWOutlineListStyle4"/>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0AC374A"/>
    <w:multiLevelType w:val="hybridMultilevel"/>
    <w:tmpl w:val="EBE0AD68"/>
    <w:lvl w:ilvl="0" w:tplc="04150011">
      <w:start w:val="1"/>
      <w:numFmt w:val="decimal"/>
      <w:lvlText w:val="%1)"/>
      <w:lvlJc w:val="left"/>
      <w:pPr>
        <w:ind w:left="360" w:hanging="360"/>
      </w:pPr>
      <w:rPr>
        <w:rFonts w:hint="default"/>
      </w:rPr>
    </w:lvl>
    <w:lvl w:ilvl="1" w:tplc="248C7AC4">
      <w:start w:val="1"/>
      <w:numFmt w:val="lowerLetter"/>
      <w:lvlText w:val="%2)"/>
      <w:lvlJc w:val="left"/>
      <w:pPr>
        <w:ind w:left="72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A03343"/>
    <w:multiLevelType w:val="multilevel"/>
    <w:tmpl w:val="B32C1A2C"/>
    <w:styleLink w:val="WWOutlineListStyle7"/>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77C11CC"/>
    <w:multiLevelType w:val="hybridMultilevel"/>
    <w:tmpl w:val="C7D4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CAA66C3"/>
    <w:multiLevelType w:val="multilevel"/>
    <w:tmpl w:val="03AE9DCC"/>
    <w:styleLink w:val="WWOutlineListStyle10"/>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34"/>
  </w:num>
  <w:num w:numId="3">
    <w:abstractNumId w:val="43"/>
  </w:num>
  <w:num w:numId="4">
    <w:abstractNumId w:val="15"/>
  </w:num>
  <w:num w:numId="5">
    <w:abstractNumId w:val="28"/>
  </w:num>
  <w:num w:numId="6">
    <w:abstractNumId w:val="41"/>
  </w:num>
  <w:num w:numId="7">
    <w:abstractNumId w:val="19"/>
  </w:num>
  <w:num w:numId="8">
    <w:abstractNumId w:val="0"/>
  </w:num>
  <w:num w:numId="9">
    <w:abstractNumId w:val="39"/>
  </w:num>
  <w:num w:numId="10">
    <w:abstractNumId w:val="16"/>
  </w:num>
  <w:num w:numId="11">
    <w:abstractNumId w:val="26"/>
  </w:num>
  <w:num w:numId="12">
    <w:abstractNumId w:val="3"/>
  </w:num>
  <w:num w:numId="13">
    <w:abstractNumId w:val="31"/>
  </w:num>
  <w:num w:numId="14">
    <w:abstractNumId w:val="10"/>
  </w:num>
  <w:num w:numId="15">
    <w:abstractNumId w:val="6"/>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1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0"/>
  </w:num>
  <w:num w:numId="36">
    <w:abstractNumId w:val="32"/>
  </w:num>
  <w:num w:numId="37">
    <w:abstractNumId w:val="33"/>
  </w:num>
  <w:num w:numId="38">
    <w:abstractNumId w:val="38"/>
  </w:num>
  <w:num w:numId="39">
    <w:abstractNumId w:val="25"/>
  </w:num>
  <w:num w:numId="40">
    <w:abstractNumId w:val="12"/>
  </w:num>
  <w:num w:numId="41">
    <w:abstractNumId w:val="21"/>
  </w:num>
  <w:num w:numId="42">
    <w:abstractNumId w:val="17"/>
  </w:num>
  <w:num w:numId="43">
    <w:abstractNumId w:val="24"/>
  </w:num>
  <w:num w:numId="44">
    <w:abstractNumId w:val="2"/>
  </w:num>
  <w:num w:numId="45">
    <w:abstractNumId w:val="5"/>
  </w:num>
  <w:num w:numId="46">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A0"/>
    <w:rsid w:val="0000457B"/>
    <w:rsid w:val="000054CC"/>
    <w:rsid w:val="00005602"/>
    <w:rsid w:val="000071C0"/>
    <w:rsid w:val="00012A7F"/>
    <w:rsid w:val="00017773"/>
    <w:rsid w:val="00022099"/>
    <w:rsid w:val="00025890"/>
    <w:rsid w:val="00025DFE"/>
    <w:rsid w:val="00030580"/>
    <w:rsid w:val="000315CA"/>
    <w:rsid w:val="0003222C"/>
    <w:rsid w:val="00033193"/>
    <w:rsid w:val="000418E0"/>
    <w:rsid w:val="00047A6C"/>
    <w:rsid w:val="00051DB8"/>
    <w:rsid w:val="00051F53"/>
    <w:rsid w:val="00055D35"/>
    <w:rsid w:val="000568E7"/>
    <w:rsid w:val="00056AC5"/>
    <w:rsid w:val="00057C8B"/>
    <w:rsid w:val="00063E65"/>
    <w:rsid w:val="00064858"/>
    <w:rsid w:val="00064E5F"/>
    <w:rsid w:val="000739BE"/>
    <w:rsid w:val="00074B5A"/>
    <w:rsid w:val="00076C11"/>
    <w:rsid w:val="00077B08"/>
    <w:rsid w:val="00087B42"/>
    <w:rsid w:val="00094FD2"/>
    <w:rsid w:val="00095346"/>
    <w:rsid w:val="0009701F"/>
    <w:rsid w:val="000976CA"/>
    <w:rsid w:val="000A1F97"/>
    <w:rsid w:val="000A42DE"/>
    <w:rsid w:val="000B289F"/>
    <w:rsid w:val="000B36A1"/>
    <w:rsid w:val="000B4283"/>
    <w:rsid w:val="000B5832"/>
    <w:rsid w:val="000B7AEC"/>
    <w:rsid w:val="000D06F1"/>
    <w:rsid w:val="000D115E"/>
    <w:rsid w:val="000D1A55"/>
    <w:rsid w:val="000D1BF5"/>
    <w:rsid w:val="000D1D1C"/>
    <w:rsid w:val="000D6562"/>
    <w:rsid w:val="000E7FAB"/>
    <w:rsid w:val="000F0440"/>
    <w:rsid w:val="000F10AF"/>
    <w:rsid w:val="000F1FFA"/>
    <w:rsid w:val="000F33E9"/>
    <w:rsid w:val="001011E9"/>
    <w:rsid w:val="00104FC0"/>
    <w:rsid w:val="001101C4"/>
    <w:rsid w:val="00111A9A"/>
    <w:rsid w:val="00114701"/>
    <w:rsid w:val="0013702F"/>
    <w:rsid w:val="00140640"/>
    <w:rsid w:val="0014086D"/>
    <w:rsid w:val="001408F8"/>
    <w:rsid w:val="0014275B"/>
    <w:rsid w:val="001464D2"/>
    <w:rsid w:val="00147734"/>
    <w:rsid w:val="00151BA0"/>
    <w:rsid w:val="001668FD"/>
    <w:rsid w:val="00176A71"/>
    <w:rsid w:val="00181A6A"/>
    <w:rsid w:val="0018351B"/>
    <w:rsid w:val="00186E30"/>
    <w:rsid w:val="00194590"/>
    <w:rsid w:val="001958C5"/>
    <w:rsid w:val="001A3242"/>
    <w:rsid w:val="001A4665"/>
    <w:rsid w:val="001A4F44"/>
    <w:rsid w:val="001A7F5C"/>
    <w:rsid w:val="001B14EF"/>
    <w:rsid w:val="001B26EA"/>
    <w:rsid w:val="001B306F"/>
    <w:rsid w:val="001B5322"/>
    <w:rsid w:val="001B59ED"/>
    <w:rsid w:val="001C4C6E"/>
    <w:rsid w:val="001D0AB7"/>
    <w:rsid w:val="001E7F7D"/>
    <w:rsid w:val="001F4420"/>
    <w:rsid w:val="001F49A6"/>
    <w:rsid w:val="001F7498"/>
    <w:rsid w:val="002023EC"/>
    <w:rsid w:val="002128D3"/>
    <w:rsid w:val="00214A55"/>
    <w:rsid w:val="00215F22"/>
    <w:rsid w:val="00221B1A"/>
    <w:rsid w:val="0022446D"/>
    <w:rsid w:val="002247E6"/>
    <w:rsid w:val="00225C48"/>
    <w:rsid w:val="002263EE"/>
    <w:rsid w:val="002268D9"/>
    <w:rsid w:val="00226D09"/>
    <w:rsid w:val="002310E8"/>
    <w:rsid w:val="00237F56"/>
    <w:rsid w:val="00242417"/>
    <w:rsid w:val="002462EB"/>
    <w:rsid w:val="00253D36"/>
    <w:rsid w:val="00254896"/>
    <w:rsid w:val="00262143"/>
    <w:rsid w:val="00265C39"/>
    <w:rsid w:val="00270F15"/>
    <w:rsid w:val="002723AE"/>
    <w:rsid w:val="00274CD2"/>
    <w:rsid w:val="0028213B"/>
    <w:rsid w:val="00282175"/>
    <w:rsid w:val="00284033"/>
    <w:rsid w:val="00287094"/>
    <w:rsid w:val="00291A0C"/>
    <w:rsid w:val="00293E2D"/>
    <w:rsid w:val="002947C3"/>
    <w:rsid w:val="002A25C9"/>
    <w:rsid w:val="002A513A"/>
    <w:rsid w:val="002A61A1"/>
    <w:rsid w:val="002B08AD"/>
    <w:rsid w:val="002B148E"/>
    <w:rsid w:val="002B6412"/>
    <w:rsid w:val="002B6AB4"/>
    <w:rsid w:val="002C0476"/>
    <w:rsid w:val="002C4478"/>
    <w:rsid w:val="002C6280"/>
    <w:rsid w:val="002D03C5"/>
    <w:rsid w:val="002D20DE"/>
    <w:rsid w:val="002D6AFD"/>
    <w:rsid w:val="002E58E6"/>
    <w:rsid w:val="002F1239"/>
    <w:rsid w:val="002F356D"/>
    <w:rsid w:val="002F39CA"/>
    <w:rsid w:val="002F7451"/>
    <w:rsid w:val="00301509"/>
    <w:rsid w:val="00310C48"/>
    <w:rsid w:val="00314F6F"/>
    <w:rsid w:val="0031710D"/>
    <w:rsid w:val="0032576F"/>
    <w:rsid w:val="00327D36"/>
    <w:rsid w:val="00332599"/>
    <w:rsid w:val="00332C1E"/>
    <w:rsid w:val="00332DD1"/>
    <w:rsid w:val="00334C65"/>
    <w:rsid w:val="00335415"/>
    <w:rsid w:val="003357D3"/>
    <w:rsid w:val="0033695B"/>
    <w:rsid w:val="00337F9D"/>
    <w:rsid w:val="00340438"/>
    <w:rsid w:val="003425EC"/>
    <w:rsid w:val="003456ED"/>
    <w:rsid w:val="003459AA"/>
    <w:rsid w:val="00356337"/>
    <w:rsid w:val="00356365"/>
    <w:rsid w:val="00357227"/>
    <w:rsid w:val="00357261"/>
    <w:rsid w:val="00357623"/>
    <w:rsid w:val="003604AE"/>
    <w:rsid w:val="00361791"/>
    <w:rsid w:val="00367CD9"/>
    <w:rsid w:val="00370750"/>
    <w:rsid w:val="00370B10"/>
    <w:rsid w:val="003749F4"/>
    <w:rsid w:val="00377294"/>
    <w:rsid w:val="0038421F"/>
    <w:rsid w:val="00387C61"/>
    <w:rsid w:val="00392495"/>
    <w:rsid w:val="00392605"/>
    <w:rsid w:val="003957BA"/>
    <w:rsid w:val="003A098A"/>
    <w:rsid w:val="003A6052"/>
    <w:rsid w:val="003B2E9A"/>
    <w:rsid w:val="003B519E"/>
    <w:rsid w:val="003B528E"/>
    <w:rsid w:val="003B6ECE"/>
    <w:rsid w:val="003C08F8"/>
    <w:rsid w:val="003C1C71"/>
    <w:rsid w:val="003C42D7"/>
    <w:rsid w:val="003C530A"/>
    <w:rsid w:val="003C7A47"/>
    <w:rsid w:val="003D404D"/>
    <w:rsid w:val="003D41B3"/>
    <w:rsid w:val="003D5867"/>
    <w:rsid w:val="003E10EF"/>
    <w:rsid w:val="003E4237"/>
    <w:rsid w:val="003F0394"/>
    <w:rsid w:val="003F1B34"/>
    <w:rsid w:val="003F1C4E"/>
    <w:rsid w:val="003F5EF3"/>
    <w:rsid w:val="003F71B2"/>
    <w:rsid w:val="003F7570"/>
    <w:rsid w:val="004003D8"/>
    <w:rsid w:val="0040471F"/>
    <w:rsid w:val="004052F6"/>
    <w:rsid w:val="00406984"/>
    <w:rsid w:val="004103C7"/>
    <w:rsid w:val="00412014"/>
    <w:rsid w:val="004123A6"/>
    <w:rsid w:val="0041384B"/>
    <w:rsid w:val="00413FC2"/>
    <w:rsid w:val="00414270"/>
    <w:rsid w:val="00426A10"/>
    <w:rsid w:val="004326C2"/>
    <w:rsid w:val="00436C42"/>
    <w:rsid w:val="004425AA"/>
    <w:rsid w:val="00442714"/>
    <w:rsid w:val="00443FE8"/>
    <w:rsid w:val="0044529B"/>
    <w:rsid w:val="004502DF"/>
    <w:rsid w:val="0045094D"/>
    <w:rsid w:val="0045230A"/>
    <w:rsid w:val="00461408"/>
    <w:rsid w:val="00461812"/>
    <w:rsid w:val="00461B52"/>
    <w:rsid w:val="00462C57"/>
    <w:rsid w:val="0047278C"/>
    <w:rsid w:val="00481E9E"/>
    <w:rsid w:val="0048471F"/>
    <w:rsid w:val="00484962"/>
    <w:rsid w:val="00487A25"/>
    <w:rsid w:val="00490D5C"/>
    <w:rsid w:val="004931CA"/>
    <w:rsid w:val="00496944"/>
    <w:rsid w:val="0049704D"/>
    <w:rsid w:val="004A7B03"/>
    <w:rsid w:val="004C017B"/>
    <w:rsid w:val="004C03E0"/>
    <w:rsid w:val="004C4701"/>
    <w:rsid w:val="004C5A8D"/>
    <w:rsid w:val="004D041F"/>
    <w:rsid w:val="004D1AED"/>
    <w:rsid w:val="004D227A"/>
    <w:rsid w:val="004D5641"/>
    <w:rsid w:val="004D638B"/>
    <w:rsid w:val="004E4252"/>
    <w:rsid w:val="004F0408"/>
    <w:rsid w:val="004F2FAE"/>
    <w:rsid w:val="005012FD"/>
    <w:rsid w:val="00505133"/>
    <w:rsid w:val="0051073A"/>
    <w:rsid w:val="00510FBB"/>
    <w:rsid w:val="00515FA4"/>
    <w:rsid w:val="0052294E"/>
    <w:rsid w:val="00523FF9"/>
    <w:rsid w:val="00525D24"/>
    <w:rsid w:val="00530C99"/>
    <w:rsid w:val="005362F6"/>
    <w:rsid w:val="00543AC1"/>
    <w:rsid w:val="00546402"/>
    <w:rsid w:val="00567B91"/>
    <w:rsid w:val="00567D04"/>
    <w:rsid w:val="005773F5"/>
    <w:rsid w:val="00582318"/>
    <w:rsid w:val="00584FC5"/>
    <w:rsid w:val="00590D85"/>
    <w:rsid w:val="00592944"/>
    <w:rsid w:val="0059337A"/>
    <w:rsid w:val="00593BFA"/>
    <w:rsid w:val="00595C2C"/>
    <w:rsid w:val="00596AE8"/>
    <w:rsid w:val="005A32E8"/>
    <w:rsid w:val="005B1D29"/>
    <w:rsid w:val="005B40DF"/>
    <w:rsid w:val="005C6D5D"/>
    <w:rsid w:val="005C7118"/>
    <w:rsid w:val="005D57DF"/>
    <w:rsid w:val="005D6887"/>
    <w:rsid w:val="005E0D0A"/>
    <w:rsid w:val="005E16E4"/>
    <w:rsid w:val="005E43FE"/>
    <w:rsid w:val="005E6FBE"/>
    <w:rsid w:val="005F61E3"/>
    <w:rsid w:val="00602483"/>
    <w:rsid w:val="0060260E"/>
    <w:rsid w:val="00603DBD"/>
    <w:rsid w:val="0061236B"/>
    <w:rsid w:val="006126D3"/>
    <w:rsid w:val="00612792"/>
    <w:rsid w:val="00615C49"/>
    <w:rsid w:val="0061612D"/>
    <w:rsid w:val="00620D39"/>
    <w:rsid w:val="006216EB"/>
    <w:rsid w:val="00622583"/>
    <w:rsid w:val="006251C4"/>
    <w:rsid w:val="00636805"/>
    <w:rsid w:val="00637D4E"/>
    <w:rsid w:val="00640BCC"/>
    <w:rsid w:val="00641116"/>
    <w:rsid w:val="006429AE"/>
    <w:rsid w:val="00647948"/>
    <w:rsid w:val="00652A6E"/>
    <w:rsid w:val="00664C23"/>
    <w:rsid w:val="00667925"/>
    <w:rsid w:val="006706F0"/>
    <w:rsid w:val="0068069C"/>
    <w:rsid w:val="00682967"/>
    <w:rsid w:val="00684921"/>
    <w:rsid w:val="00687B33"/>
    <w:rsid w:val="00690419"/>
    <w:rsid w:val="006916B6"/>
    <w:rsid w:val="006A397A"/>
    <w:rsid w:val="006A7984"/>
    <w:rsid w:val="006B0119"/>
    <w:rsid w:val="006C0FEC"/>
    <w:rsid w:val="006C1A0C"/>
    <w:rsid w:val="006C33C3"/>
    <w:rsid w:val="006C3C12"/>
    <w:rsid w:val="006D05BD"/>
    <w:rsid w:val="006D4433"/>
    <w:rsid w:val="006D5B3A"/>
    <w:rsid w:val="006D68E8"/>
    <w:rsid w:val="006E0768"/>
    <w:rsid w:val="006E1F56"/>
    <w:rsid w:val="006E4FB0"/>
    <w:rsid w:val="006E613E"/>
    <w:rsid w:val="006F1E0A"/>
    <w:rsid w:val="006F4A9B"/>
    <w:rsid w:val="006F4BD4"/>
    <w:rsid w:val="006F5338"/>
    <w:rsid w:val="006F74E9"/>
    <w:rsid w:val="00703015"/>
    <w:rsid w:val="00704B63"/>
    <w:rsid w:val="00711741"/>
    <w:rsid w:val="00712522"/>
    <w:rsid w:val="0071713E"/>
    <w:rsid w:val="00717EA4"/>
    <w:rsid w:val="007220B2"/>
    <w:rsid w:val="00730BB9"/>
    <w:rsid w:val="0073316A"/>
    <w:rsid w:val="00743F42"/>
    <w:rsid w:val="00750D6A"/>
    <w:rsid w:val="00751E62"/>
    <w:rsid w:val="00755BD8"/>
    <w:rsid w:val="007635B5"/>
    <w:rsid w:val="00775BE4"/>
    <w:rsid w:val="0078093E"/>
    <w:rsid w:val="00784EC6"/>
    <w:rsid w:val="0078717F"/>
    <w:rsid w:val="00790F53"/>
    <w:rsid w:val="007911F9"/>
    <w:rsid w:val="0079184C"/>
    <w:rsid w:val="00792C62"/>
    <w:rsid w:val="00793A88"/>
    <w:rsid w:val="00793AB2"/>
    <w:rsid w:val="00795C97"/>
    <w:rsid w:val="007A0045"/>
    <w:rsid w:val="007A6EE4"/>
    <w:rsid w:val="007A76AF"/>
    <w:rsid w:val="007B5D57"/>
    <w:rsid w:val="007B6863"/>
    <w:rsid w:val="007C5431"/>
    <w:rsid w:val="007C62F0"/>
    <w:rsid w:val="007D21BD"/>
    <w:rsid w:val="007D3AFD"/>
    <w:rsid w:val="007D5483"/>
    <w:rsid w:val="007D5787"/>
    <w:rsid w:val="007D7290"/>
    <w:rsid w:val="007E3157"/>
    <w:rsid w:val="007F04AF"/>
    <w:rsid w:val="007F4460"/>
    <w:rsid w:val="007F56E2"/>
    <w:rsid w:val="00800CE4"/>
    <w:rsid w:val="00801081"/>
    <w:rsid w:val="00806AAE"/>
    <w:rsid w:val="0081285B"/>
    <w:rsid w:val="00813F10"/>
    <w:rsid w:val="00827D4E"/>
    <w:rsid w:val="0083029E"/>
    <w:rsid w:val="00862F6B"/>
    <w:rsid w:val="00863810"/>
    <w:rsid w:val="00874916"/>
    <w:rsid w:val="0087798E"/>
    <w:rsid w:val="00884F3D"/>
    <w:rsid w:val="008863D1"/>
    <w:rsid w:val="00890148"/>
    <w:rsid w:val="00893810"/>
    <w:rsid w:val="00896C44"/>
    <w:rsid w:val="008A0E0C"/>
    <w:rsid w:val="008A303F"/>
    <w:rsid w:val="008A4207"/>
    <w:rsid w:val="008B246E"/>
    <w:rsid w:val="008C0F62"/>
    <w:rsid w:val="008C570E"/>
    <w:rsid w:val="008C60E3"/>
    <w:rsid w:val="008E03D0"/>
    <w:rsid w:val="008E354C"/>
    <w:rsid w:val="008F0DE9"/>
    <w:rsid w:val="008F5781"/>
    <w:rsid w:val="008F7B70"/>
    <w:rsid w:val="0090214E"/>
    <w:rsid w:val="00905E7B"/>
    <w:rsid w:val="009076A0"/>
    <w:rsid w:val="009101D0"/>
    <w:rsid w:val="00914F1A"/>
    <w:rsid w:val="00915C53"/>
    <w:rsid w:val="00927B58"/>
    <w:rsid w:val="00931114"/>
    <w:rsid w:val="0094516F"/>
    <w:rsid w:val="0094552A"/>
    <w:rsid w:val="0095187A"/>
    <w:rsid w:val="00962F51"/>
    <w:rsid w:val="00963160"/>
    <w:rsid w:val="00966636"/>
    <w:rsid w:val="00966F00"/>
    <w:rsid w:val="00967888"/>
    <w:rsid w:val="00973DC4"/>
    <w:rsid w:val="00981E6F"/>
    <w:rsid w:val="009834BD"/>
    <w:rsid w:val="009837DC"/>
    <w:rsid w:val="00984BFF"/>
    <w:rsid w:val="00992AE1"/>
    <w:rsid w:val="00994C34"/>
    <w:rsid w:val="009A08DF"/>
    <w:rsid w:val="009A1692"/>
    <w:rsid w:val="009A1BC3"/>
    <w:rsid w:val="009A2A40"/>
    <w:rsid w:val="009A3CDE"/>
    <w:rsid w:val="009A4707"/>
    <w:rsid w:val="009A6A51"/>
    <w:rsid w:val="009B460B"/>
    <w:rsid w:val="009B7CAD"/>
    <w:rsid w:val="009C3599"/>
    <w:rsid w:val="009C68AD"/>
    <w:rsid w:val="009D6B10"/>
    <w:rsid w:val="009E0BCC"/>
    <w:rsid w:val="009E1F02"/>
    <w:rsid w:val="009E434D"/>
    <w:rsid w:val="009E796C"/>
    <w:rsid w:val="009F305B"/>
    <w:rsid w:val="009F3ECB"/>
    <w:rsid w:val="009F7EE3"/>
    <w:rsid w:val="00A0155B"/>
    <w:rsid w:val="00A03B19"/>
    <w:rsid w:val="00A101BC"/>
    <w:rsid w:val="00A218F5"/>
    <w:rsid w:val="00A244A3"/>
    <w:rsid w:val="00A313E4"/>
    <w:rsid w:val="00A46698"/>
    <w:rsid w:val="00A52775"/>
    <w:rsid w:val="00A54FF8"/>
    <w:rsid w:val="00A730C0"/>
    <w:rsid w:val="00A80194"/>
    <w:rsid w:val="00A80282"/>
    <w:rsid w:val="00A8078A"/>
    <w:rsid w:val="00A81877"/>
    <w:rsid w:val="00A83E5E"/>
    <w:rsid w:val="00A92755"/>
    <w:rsid w:val="00AB322B"/>
    <w:rsid w:val="00AB3AF1"/>
    <w:rsid w:val="00AB451E"/>
    <w:rsid w:val="00AB780E"/>
    <w:rsid w:val="00AC310A"/>
    <w:rsid w:val="00AC3A60"/>
    <w:rsid w:val="00AC6382"/>
    <w:rsid w:val="00AD13BD"/>
    <w:rsid w:val="00AD25E8"/>
    <w:rsid w:val="00AD334C"/>
    <w:rsid w:val="00AD37BB"/>
    <w:rsid w:val="00AD39EF"/>
    <w:rsid w:val="00AE08C5"/>
    <w:rsid w:val="00AE0BB2"/>
    <w:rsid w:val="00B10209"/>
    <w:rsid w:val="00B1047F"/>
    <w:rsid w:val="00B1276E"/>
    <w:rsid w:val="00B13DC1"/>
    <w:rsid w:val="00B1462C"/>
    <w:rsid w:val="00B16406"/>
    <w:rsid w:val="00B16AC2"/>
    <w:rsid w:val="00B2187C"/>
    <w:rsid w:val="00B27C54"/>
    <w:rsid w:val="00B33FA5"/>
    <w:rsid w:val="00B35E22"/>
    <w:rsid w:val="00B35F23"/>
    <w:rsid w:val="00B45797"/>
    <w:rsid w:val="00B466DA"/>
    <w:rsid w:val="00B46E33"/>
    <w:rsid w:val="00B60FFD"/>
    <w:rsid w:val="00B660F7"/>
    <w:rsid w:val="00B70080"/>
    <w:rsid w:val="00B70143"/>
    <w:rsid w:val="00B71936"/>
    <w:rsid w:val="00B80AAB"/>
    <w:rsid w:val="00B8106F"/>
    <w:rsid w:val="00B83637"/>
    <w:rsid w:val="00B85D0F"/>
    <w:rsid w:val="00B916EE"/>
    <w:rsid w:val="00B957BF"/>
    <w:rsid w:val="00BA261D"/>
    <w:rsid w:val="00BB0D79"/>
    <w:rsid w:val="00BB2880"/>
    <w:rsid w:val="00BB28EE"/>
    <w:rsid w:val="00BB5458"/>
    <w:rsid w:val="00BC294D"/>
    <w:rsid w:val="00BC2FAE"/>
    <w:rsid w:val="00BC5E3B"/>
    <w:rsid w:val="00BC620B"/>
    <w:rsid w:val="00BD6EE3"/>
    <w:rsid w:val="00BD73C3"/>
    <w:rsid w:val="00BE01F9"/>
    <w:rsid w:val="00BE17E3"/>
    <w:rsid w:val="00BE24C1"/>
    <w:rsid w:val="00BE2E50"/>
    <w:rsid w:val="00BE759E"/>
    <w:rsid w:val="00BF0419"/>
    <w:rsid w:val="00BF3F73"/>
    <w:rsid w:val="00C13676"/>
    <w:rsid w:val="00C1493C"/>
    <w:rsid w:val="00C2761D"/>
    <w:rsid w:val="00C406DA"/>
    <w:rsid w:val="00C41778"/>
    <w:rsid w:val="00C43183"/>
    <w:rsid w:val="00C431EC"/>
    <w:rsid w:val="00C458EC"/>
    <w:rsid w:val="00C5334B"/>
    <w:rsid w:val="00C57618"/>
    <w:rsid w:val="00C60BD5"/>
    <w:rsid w:val="00C65CAD"/>
    <w:rsid w:val="00C67A77"/>
    <w:rsid w:val="00C73999"/>
    <w:rsid w:val="00C749E2"/>
    <w:rsid w:val="00C7793A"/>
    <w:rsid w:val="00C809DE"/>
    <w:rsid w:val="00C80F97"/>
    <w:rsid w:val="00C8482E"/>
    <w:rsid w:val="00C92A23"/>
    <w:rsid w:val="00C94D13"/>
    <w:rsid w:val="00C9711F"/>
    <w:rsid w:val="00CA33BF"/>
    <w:rsid w:val="00CA3F6E"/>
    <w:rsid w:val="00CA41D7"/>
    <w:rsid w:val="00CB1BB0"/>
    <w:rsid w:val="00CC1C45"/>
    <w:rsid w:val="00CD00A3"/>
    <w:rsid w:val="00CE1B91"/>
    <w:rsid w:val="00CE1E1C"/>
    <w:rsid w:val="00CF0516"/>
    <w:rsid w:val="00CF10BE"/>
    <w:rsid w:val="00CF60BB"/>
    <w:rsid w:val="00CF6539"/>
    <w:rsid w:val="00D01529"/>
    <w:rsid w:val="00D02097"/>
    <w:rsid w:val="00D05332"/>
    <w:rsid w:val="00D07CC6"/>
    <w:rsid w:val="00D1604F"/>
    <w:rsid w:val="00D17033"/>
    <w:rsid w:val="00D173DD"/>
    <w:rsid w:val="00D31334"/>
    <w:rsid w:val="00D3206F"/>
    <w:rsid w:val="00D3441F"/>
    <w:rsid w:val="00D34491"/>
    <w:rsid w:val="00D4044F"/>
    <w:rsid w:val="00D40770"/>
    <w:rsid w:val="00D43EED"/>
    <w:rsid w:val="00D4449F"/>
    <w:rsid w:val="00D611A7"/>
    <w:rsid w:val="00D6139C"/>
    <w:rsid w:val="00D630D1"/>
    <w:rsid w:val="00D74C12"/>
    <w:rsid w:val="00D76DAE"/>
    <w:rsid w:val="00D76FEF"/>
    <w:rsid w:val="00D8048B"/>
    <w:rsid w:val="00D843D8"/>
    <w:rsid w:val="00D85AD8"/>
    <w:rsid w:val="00DA61A4"/>
    <w:rsid w:val="00DA6A69"/>
    <w:rsid w:val="00DB078E"/>
    <w:rsid w:val="00DC30CC"/>
    <w:rsid w:val="00DC5003"/>
    <w:rsid w:val="00DC5B2F"/>
    <w:rsid w:val="00DC77A8"/>
    <w:rsid w:val="00DD1CDD"/>
    <w:rsid w:val="00DD5ACC"/>
    <w:rsid w:val="00DD7AA5"/>
    <w:rsid w:val="00DE52EC"/>
    <w:rsid w:val="00DE5E70"/>
    <w:rsid w:val="00DF3195"/>
    <w:rsid w:val="00E016C2"/>
    <w:rsid w:val="00E05FA5"/>
    <w:rsid w:val="00E065A0"/>
    <w:rsid w:val="00E06FBB"/>
    <w:rsid w:val="00E15A76"/>
    <w:rsid w:val="00E16CCC"/>
    <w:rsid w:val="00E21555"/>
    <w:rsid w:val="00E266DD"/>
    <w:rsid w:val="00E34B01"/>
    <w:rsid w:val="00E3659C"/>
    <w:rsid w:val="00E36890"/>
    <w:rsid w:val="00E37A57"/>
    <w:rsid w:val="00E44FD5"/>
    <w:rsid w:val="00E50A61"/>
    <w:rsid w:val="00E5166B"/>
    <w:rsid w:val="00E5279E"/>
    <w:rsid w:val="00E56BC5"/>
    <w:rsid w:val="00E5720D"/>
    <w:rsid w:val="00E6251F"/>
    <w:rsid w:val="00E642AC"/>
    <w:rsid w:val="00E7250B"/>
    <w:rsid w:val="00E7278F"/>
    <w:rsid w:val="00E749CE"/>
    <w:rsid w:val="00E755CF"/>
    <w:rsid w:val="00E77133"/>
    <w:rsid w:val="00E805D4"/>
    <w:rsid w:val="00E82752"/>
    <w:rsid w:val="00E8791A"/>
    <w:rsid w:val="00E900E4"/>
    <w:rsid w:val="00E93EB0"/>
    <w:rsid w:val="00E96D5C"/>
    <w:rsid w:val="00E97118"/>
    <w:rsid w:val="00EA6FE4"/>
    <w:rsid w:val="00EA7C5E"/>
    <w:rsid w:val="00EB11BE"/>
    <w:rsid w:val="00EB4A51"/>
    <w:rsid w:val="00EB5557"/>
    <w:rsid w:val="00EB764B"/>
    <w:rsid w:val="00EC1B11"/>
    <w:rsid w:val="00EC21AD"/>
    <w:rsid w:val="00EC7015"/>
    <w:rsid w:val="00EC7B91"/>
    <w:rsid w:val="00ED0709"/>
    <w:rsid w:val="00ED2426"/>
    <w:rsid w:val="00EE5ED3"/>
    <w:rsid w:val="00EF57D7"/>
    <w:rsid w:val="00F00223"/>
    <w:rsid w:val="00F03C33"/>
    <w:rsid w:val="00F132BA"/>
    <w:rsid w:val="00F13E49"/>
    <w:rsid w:val="00F14BDC"/>
    <w:rsid w:val="00F158DE"/>
    <w:rsid w:val="00F205A4"/>
    <w:rsid w:val="00F23F0F"/>
    <w:rsid w:val="00F24A85"/>
    <w:rsid w:val="00F251E8"/>
    <w:rsid w:val="00F310B4"/>
    <w:rsid w:val="00F3123B"/>
    <w:rsid w:val="00F34CC8"/>
    <w:rsid w:val="00F36CCA"/>
    <w:rsid w:val="00F523E2"/>
    <w:rsid w:val="00F5543F"/>
    <w:rsid w:val="00F63E2D"/>
    <w:rsid w:val="00F64873"/>
    <w:rsid w:val="00F661C2"/>
    <w:rsid w:val="00F66B70"/>
    <w:rsid w:val="00F72A2E"/>
    <w:rsid w:val="00F80023"/>
    <w:rsid w:val="00F81667"/>
    <w:rsid w:val="00F83561"/>
    <w:rsid w:val="00F84F81"/>
    <w:rsid w:val="00F859B3"/>
    <w:rsid w:val="00F91B3A"/>
    <w:rsid w:val="00F9212E"/>
    <w:rsid w:val="00F92CC3"/>
    <w:rsid w:val="00F95962"/>
    <w:rsid w:val="00FA0B24"/>
    <w:rsid w:val="00FA2CD8"/>
    <w:rsid w:val="00FA2CF6"/>
    <w:rsid w:val="00FA4243"/>
    <w:rsid w:val="00FA4962"/>
    <w:rsid w:val="00FB037C"/>
    <w:rsid w:val="00FB5EAB"/>
    <w:rsid w:val="00FB734B"/>
    <w:rsid w:val="00FC395D"/>
    <w:rsid w:val="00FC4005"/>
    <w:rsid w:val="00FC6AE9"/>
    <w:rsid w:val="00FD64BB"/>
    <w:rsid w:val="00FE07FD"/>
    <w:rsid w:val="00FE0CB1"/>
    <w:rsid w:val="00FE0E2F"/>
    <w:rsid w:val="00FE125E"/>
    <w:rsid w:val="00FE1916"/>
    <w:rsid w:val="00FE7ED9"/>
    <w:rsid w:val="00FF1A22"/>
    <w:rsid w:val="00FF68A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4B01"/>
  <w15:docId w15:val="{3779A12F-26BE-434F-8EE4-BB0ED238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E16E4"/>
    <w:pPr>
      <w:suppressAutoHyphens/>
      <w:spacing w:line="360" w:lineRule="auto"/>
      <w:jc w:val="both"/>
    </w:pPr>
    <w:rPr>
      <w:sz w:val="24"/>
      <w:szCs w:val="24"/>
      <w:lang w:eastAsia="zh-CN"/>
    </w:rPr>
  </w:style>
  <w:style w:type="paragraph" w:styleId="Nagwek1">
    <w:name w:val="heading 1"/>
    <w:basedOn w:val="Normalny"/>
    <w:next w:val="Normalny"/>
    <w:pPr>
      <w:keepNext/>
      <w:spacing w:before="120" w:after="120"/>
      <w:ind w:left="432" w:hanging="432"/>
      <w:outlineLvl w:val="0"/>
    </w:pPr>
    <w:rPr>
      <w:rFonts w:ascii="Arial" w:eastAsia="MS Mincho" w:hAnsi="Arial" w:cs="Arial"/>
      <w:b/>
      <w:szCs w:val="20"/>
    </w:rPr>
  </w:style>
  <w:style w:type="paragraph" w:styleId="Nagwek2">
    <w:name w:val="heading 2"/>
    <w:basedOn w:val="Normalny"/>
    <w:next w:val="Normalny"/>
    <w:pPr>
      <w:keepNext/>
      <w:numPr>
        <w:ilvl w:val="1"/>
        <w:numId w:val="1"/>
      </w:numPr>
      <w:spacing w:before="120" w:after="120"/>
      <w:outlineLvl w:val="1"/>
    </w:pPr>
    <w:rPr>
      <w:rFonts w:ascii="Arial" w:hAnsi="Arial" w:cs="Arial"/>
      <w:b/>
      <w:i/>
      <w:sz w:val="22"/>
      <w:szCs w:val="22"/>
    </w:rPr>
  </w:style>
  <w:style w:type="paragraph" w:styleId="Nagwek3">
    <w:name w:val="heading 3"/>
    <w:basedOn w:val="Akapitzlist"/>
    <w:next w:val="Normalny"/>
    <w:pPr>
      <w:keepNext/>
      <w:spacing w:before="120" w:after="120"/>
      <w:ind w:left="0"/>
      <w:outlineLvl w:val="2"/>
    </w:pPr>
    <w:rPr>
      <w:rFonts w:ascii="Arial" w:hAnsi="Arial"/>
    </w:rPr>
  </w:style>
  <w:style w:type="paragraph" w:styleId="Nagwek4">
    <w:name w:val="heading 4"/>
    <w:basedOn w:val="Normalny"/>
    <w:next w:val="Normalny"/>
    <w:pPr>
      <w:keepNext/>
      <w:numPr>
        <w:ilvl w:val="3"/>
        <w:numId w:val="1"/>
      </w:numPr>
      <w:spacing w:before="120" w:after="120"/>
      <w:outlineLvl w:val="3"/>
    </w:pPr>
    <w:rPr>
      <w:szCs w:val="20"/>
      <w:u w:val="single"/>
    </w:rPr>
  </w:style>
  <w:style w:type="paragraph" w:styleId="Nagwek5">
    <w:name w:val="heading 5"/>
    <w:basedOn w:val="Normalny"/>
    <w:next w:val="Normalny"/>
    <w:pPr>
      <w:keepNext/>
      <w:numPr>
        <w:ilvl w:val="4"/>
        <w:numId w:val="1"/>
      </w:numPr>
      <w:outlineLvl w:val="4"/>
    </w:pPr>
    <w:rPr>
      <w:rFonts w:eastAsia="MS Mincho"/>
      <w:szCs w:val="20"/>
    </w:rPr>
  </w:style>
  <w:style w:type="paragraph" w:styleId="Nagwek6">
    <w:name w:val="heading 6"/>
    <w:basedOn w:val="Normalny"/>
    <w:next w:val="Normalny"/>
    <w:pPr>
      <w:keepNext/>
      <w:numPr>
        <w:ilvl w:val="5"/>
        <w:numId w:val="1"/>
      </w:numPr>
      <w:jc w:val="left"/>
      <w:outlineLvl w:val="5"/>
    </w:pPr>
    <w:rPr>
      <w:b/>
      <w:sz w:val="22"/>
    </w:rPr>
  </w:style>
  <w:style w:type="paragraph" w:styleId="Nagwek7">
    <w:name w:val="heading 7"/>
    <w:basedOn w:val="Normalny"/>
    <w:next w:val="Normalny"/>
    <w:pPr>
      <w:keepNext/>
      <w:numPr>
        <w:ilvl w:val="6"/>
        <w:numId w:val="1"/>
      </w:numPr>
      <w:outlineLvl w:val="6"/>
    </w:pPr>
    <w:rPr>
      <w:sz w:val="22"/>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
    <w:name w:val="WW_OutlineListStyle_12"/>
    <w:basedOn w:val="Bezlisty"/>
    <w:pPr>
      <w:numPr>
        <w:numId w:val="1"/>
      </w:numPr>
    </w:pPr>
  </w:style>
  <w:style w:type="character" w:customStyle="1" w:styleId="WW8Num1z0">
    <w:name w:val="WW8Num1z0"/>
    <w:rPr>
      <w:rFonts w:ascii="Arial" w:hAnsi="Arial" w:cs="Arial"/>
      <w:bCs/>
      <w:sz w:val="22"/>
      <w:szCs w:val="22"/>
    </w:rPr>
  </w:style>
  <w:style w:type="character" w:customStyle="1" w:styleId="WW8Num1z2">
    <w:name w:val="WW8Num1z2"/>
  </w:style>
  <w:style w:type="character" w:customStyle="1" w:styleId="WW8Num1z3">
    <w:name w:val="WW8Num1z3"/>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1z6">
    <w:name w:val="WW8Num1z6"/>
    <w:rPr>
      <w:rFonts w:ascii="Symbol" w:hAnsi="Symbol" w:cs="Symbol"/>
    </w:rPr>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b w:val="0"/>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3z3">
    <w:name w:val="WW8Num3z3"/>
    <w:rPr>
      <w:rFonts w:ascii="Wingdings" w:hAnsi="Wingdings" w:cs="Wingding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szCs w:val="22"/>
    </w:rPr>
  </w:style>
  <w:style w:type="character" w:customStyle="1" w:styleId="WW8Num4z1">
    <w:name w:val="WW8Num4z1"/>
  </w:style>
  <w:style w:type="character" w:customStyle="1" w:styleId="WW8Num4z2">
    <w:name w:val="WW8Num4z2"/>
  </w:style>
  <w:style w:type="character" w:customStyle="1" w:styleId="WW8Num4z3">
    <w:name w:val="WW8Num4z3"/>
    <w:rPr>
      <w:rFonts w:ascii="Arial" w:hAnsi="Arial" w:cs="Arial"/>
      <w:sz w:val="22"/>
      <w:szCs w:val="22"/>
    </w:rPr>
  </w:style>
  <w:style w:type="character" w:customStyle="1" w:styleId="WW8Num4z4">
    <w:name w:val="WW8Num4z4"/>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3">
    <w:name w:val="WW8Num5z3"/>
    <w:rPr>
      <w:rFonts w:ascii="Arial" w:hAnsi="Arial" w:cs="Arial"/>
      <w:b w:val="0"/>
    </w:rPr>
  </w:style>
  <w:style w:type="character" w:customStyle="1" w:styleId="WW8Num6z0">
    <w:name w:val="WW8Num6z0"/>
    <w:rPr>
      <w:rFonts w:ascii="Wingdings" w:hAnsi="Wingdings" w:cs="Times New Roman"/>
      <w:sz w:val="22"/>
      <w:szCs w:val="22"/>
    </w:rPr>
  </w:style>
  <w:style w:type="character" w:customStyle="1" w:styleId="WW8Num7z0">
    <w:name w:val="WW8Num7z0"/>
  </w:style>
  <w:style w:type="character" w:customStyle="1" w:styleId="WW8Num7z1">
    <w:name w:val="WW8Num7z1"/>
    <w:rPr>
      <w:rFonts w:ascii="Arial" w:hAnsi="Arial" w:cs="Arial"/>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z w:val="22"/>
      <w:szCs w:val="22"/>
    </w:rPr>
  </w:style>
  <w:style w:type="character" w:customStyle="1" w:styleId="WW8Num10z0">
    <w:name w:val="WW8Num10z0"/>
    <w:rPr>
      <w:rFonts w:ascii="Arial" w:hAnsi="Arial" w:cs="Arial"/>
      <w:sz w:val="22"/>
      <w:szCs w:val="22"/>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sz w:val="22"/>
      <w:szCs w:val="22"/>
    </w:rPr>
  </w:style>
  <w:style w:type="character" w:customStyle="1" w:styleId="WW8Num13z1">
    <w:name w:val="WW8Num13z1"/>
    <w:rPr>
      <w:rFonts w:ascii="Arial" w:hAnsi="Arial" w:cs="Arial"/>
      <w:b w:val="0"/>
      <w:sz w:val="22"/>
      <w:szCs w:val="22"/>
    </w:rPr>
  </w:style>
  <w:style w:type="character" w:customStyle="1" w:styleId="WW8Num13z3">
    <w:name w:val="WW8Num13z3"/>
    <w:rPr>
      <w:sz w:val="22"/>
      <w:szCs w:val="22"/>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22"/>
      <w:szCs w:val="22"/>
    </w:rPr>
  </w:style>
  <w:style w:type="character" w:customStyle="1" w:styleId="WW8Num15z0">
    <w:name w:val="WW8Num15z0"/>
    <w:rPr>
      <w:rFonts w:ascii="Arial" w:hAnsi="Arial" w:cs="Arial"/>
      <w:b w:val="0"/>
      <w:sz w:val="22"/>
      <w:szCs w:val="22"/>
    </w:rPr>
  </w:style>
  <w:style w:type="character" w:customStyle="1" w:styleId="WW8Num16z0">
    <w:name w:val="WW8Num16z0"/>
    <w:rPr>
      <w:rFonts w:ascii="Arial" w:hAnsi="Arial" w:cs="Arial"/>
      <w:sz w:val="22"/>
      <w:szCs w:val="22"/>
    </w:rPr>
  </w:style>
  <w:style w:type="character" w:customStyle="1" w:styleId="WW8Num17z0">
    <w:name w:val="WW8Num17z0"/>
    <w:rPr>
      <w:rFonts w:ascii="Arial" w:hAnsi="Arial" w:cs="Arial"/>
      <w:sz w:val="22"/>
    </w:rPr>
  </w:style>
  <w:style w:type="character" w:customStyle="1" w:styleId="WW8Num18z0">
    <w:name w:val="WW8Num18z0"/>
    <w:rPr>
      <w:rFonts w:ascii="Arial" w:hAnsi="Arial" w:cs="Arial"/>
      <w:sz w:val="22"/>
      <w:szCs w:val="22"/>
    </w:rPr>
  </w:style>
  <w:style w:type="character" w:customStyle="1" w:styleId="WW8Num19z0">
    <w:name w:val="WW8Num19z0"/>
    <w:rPr>
      <w:rFonts w:ascii="Arial" w:hAnsi="Arial" w:cs="Arial"/>
      <w:sz w:val="22"/>
      <w:szCs w:val="22"/>
    </w:rPr>
  </w:style>
  <w:style w:type="character" w:customStyle="1" w:styleId="WW8Num20z0">
    <w:name w:val="WW8Num20z0"/>
    <w:rPr>
      <w:rFonts w:ascii="Arial" w:hAnsi="Arial" w:cs="Arial"/>
      <w:sz w:val="22"/>
      <w:szCs w:val="22"/>
    </w:rPr>
  </w:style>
  <w:style w:type="character" w:customStyle="1" w:styleId="WW8Num21z0">
    <w:name w:val="WW8Num21z0"/>
    <w:rPr>
      <w:rFonts w:ascii="Arial" w:eastAsia="MS Mincho" w:hAnsi="Arial" w:cs="Arial"/>
      <w:bCs/>
      <w:i w:val="0"/>
      <w:color w:val="000000"/>
      <w:sz w:val="22"/>
      <w:szCs w:val="22"/>
      <w:lang w:eastAsia="ja-JP"/>
    </w:rPr>
  </w:style>
  <w:style w:type="character" w:customStyle="1" w:styleId="WW8Num22z0">
    <w:name w:val="WW8Num22z0"/>
    <w:rPr>
      <w:rFonts w:ascii="Arial" w:eastAsia="MS Mincho" w:hAnsi="Arial" w:cs="Arial"/>
      <w:color w:val="000000"/>
      <w:sz w:val="22"/>
      <w:szCs w:val="22"/>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TE278EC88t00" w:hAnsi="Arial" w:cs="Arial"/>
      <w:i/>
      <w:sz w:val="22"/>
      <w:szCs w:val="22"/>
    </w:rPr>
  </w:style>
  <w:style w:type="character" w:customStyle="1" w:styleId="WW8Num24z0">
    <w:name w:val="WW8Num24z0"/>
    <w:rPr>
      <w:rFonts w:ascii="Arial" w:hAnsi="Arial" w:cs="Arial"/>
      <w:sz w:val="22"/>
      <w:szCs w:val="22"/>
    </w:rPr>
  </w:style>
  <w:style w:type="character" w:customStyle="1" w:styleId="WW8Num25z0">
    <w:name w:val="WW8Num25z0"/>
    <w:rPr>
      <w:rFonts w:ascii="Arial" w:hAnsi="Arial" w:cs="Arial"/>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sz w:val="22"/>
      <w:szCs w:val="22"/>
    </w:rPr>
  </w:style>
  <w:style w:type="character" w:customStyle="1" w:styleId="WW8Num28z0">
    <w:name w:val="WW8Num28z0"/>
    <w:rPr>
      <w:rFonts w:ascii="Arial" w:hAnsi="Arial" w:cs="Arial"/>
      <w:sz w:val="22"/>
      <w:szCs w:val="22"/>
    </w:rPr>
  </w:style>
  <w:style w:type="character" w:customStyle="1" w:styleId="WW8Num28z1">
    <w:name w:val="WW8Num28z1"/>
    <w:rPr>
      <w:rFonts w:ascii="Arial" w:eastAsia="Times New Roman" w:hAnsi="Arial" w:cs="Times New Roman"/>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Cs/>
      <w:sz w:val="22"/>
      <w:szCs w:val="22"/>
    </w:rPr>
  </w:style>
  <w:style w:type="character" w:customStyle="1" w:styleId="WW8Num30z0">
    <w:name w:val="WW8Num30z0"/>
    <w:rPr>
      <w:rFonts w:ascii="Arial" w:eastAsia="Times New Roman" w:hAnsi="Arial" w:cs="Arial"/>
      <w:sz w:val="22"/>
      <w:szCs w:val="22"/>
    </w:rPr>
  </w:style>
  <w:style w:type="character" w:customStyle="1" w:styleId="WW8Num30z1">
    <w:name w:val="WW8Num30z1"/>
    <w:rPr>
      <w:rFonts w:ascii="Arial" w:hAnsi="Arial" w:cs="Arial"/>
      <w:b w:val="0"/>
      <w:sz w:val="22"/>
      <w:szCs w:val="22"/>
    </w:rPr>
  </w:style>
  <w:style w:type="character" w:customStyle="1" w:styleId="WW8Num30z3">
    <w:name w:val="WW8Num30z3"/>
    <w:rPr>
      <w:sz w:val="22"/>
      <w:szCs w:val="22"/>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MS Mincho" w:hAnsi="Arial" w:cs="Arial"/>
      <w:color w:val="000000"/>
      <w:sz w:val="22"/>
      <w:szCs w:val="22"/>
    </w:rPr>
  </w:style>
  <w:style w:type="character" w:customStyle="1" w:styleId="WW8Num31z1">
    <w:name w:val="WW8Num31z1"/>
  </w:style>
  <w:style w:type="character" w:customStyle="1" w:styleId="WW8Num32z0">
    <w:name w:val="WW8Num32z0"/>
    <w:rPr>
      <w:rFonts w:ascii="Arial" w:hAnsi="Arial" w:cs="Arial"/>
      <w:sz w:val="22"/>
      <w:szCs w:val="22"/>
    </w:rPr>
  </w:style>
  <w:style w:type="character" w:customStyle="1" w:styleId="WW8Num33z0">
    <w:name w:val="WW8Num33z0"/>
  </w:style>
  <w:style w:type="character" w:customStyle="1" w:styleId="WW8Num33z1">
    <w:name w:val="WW8Num33z1"/>
  </w:style>
  <w:style w:type="character" w:customStyle="1" w:styleId="WW8Num33z2">
    <w:name w:val="WW8Num33z2"/>
    <w:rPr>
      <w:rFonts w:ascii="Arial" w:eastAsia="MS Mincho" w:hAnsi="Arial" w:cs="Arial"/>
      <w:color w:val="000000"/>
      <w:sz w:val="22"/>
      <w:szCs w:val="22"/>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sz w:val="22"/>
      <w:szCs w:val="22"/>
    </w:rPr>
  </w:style>
  <w:style w:type="character" w:customStyle="1" w:styleId="WW8Num35z0">
    <w:name w:val="WW8Num35z0"/>
    <w:rPr>
      <w:rFonts w:ascii="Arial" w:hAnsi="Arial" w:cs="Arial"/>
      <w:i w:val="0"/>
      <w:sz w:val="22"/>
      <w:szCs w:val="22"/>
    </w:rPr>
  </w:style>
  <w:style w:type="character" w:customStyle="1" w:styleId="WW8Num36z0">
    <w:name w:val="WW8Num36z0"/>
    <w:rPr>
      <w:rFonts w:ascii="Arial" w:hAnsi="Arial" w:cs="Arial"/>
      <w:sz w:val="22"/>
      <w:szCs w:val="22"/>
    </w:rPr>
  </w:style>
  <w:style w:type="character" w:customStyle="1" w:styleId="WW8Num36z1">
    <w:name w:val="WW8Num36z1"/>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sz w:val="22"/>
      <w:szCs w:val="22"/>
    </w:rPr>
  </w:style>
  <w:style w:type="character" w:customStyle="1" w:styleId="WW8Num38z0">
    <w:name w:val="WW8Num38z0"/>
  </w:style>
  <w:style w:type="character" w:customStyle="1" w:styleId="WW8Num38z2">
    <w:name w:val="WW8Num38z2"/>
    <w:rPr>
      <w:rFonts w:ascii="Arial" w:hAnsi="Arial" w:cs="Arial"/>
      <w:sz w:val="24"/>
      <w:szCs w:val="24"/>
    </w:rPr>
  </w:style>
  <w:style w:type="character" w:customStyle="1" w:styleId="WW8Num39z0">
    <w:name w:val="WW8Num39z0"/>
    <w:rPr>
      <w:rFonts w:ascii="Arial" w:hAnsi="Arial" w:cs="Arial"/>
      <w:i/>
      <w:sz w:val="22"/>
      <w:szCs w:val="22"/>
    </w:rPr>
  </w:style>
  <w:style w:type="character" w:customStyle="1" w:styleId="WW8Num40z0">
    <w:name w:val="WW8Num40z0"/>
    <w:rPr>
      <w:rFonts w:ascii="Arial" w:hAnsi="Arial" w:cs="Arial"/>
      <w:sz w:val="22"/>
      <w:szCs w:val="22"/>
    </w:rPr>
  </w:style>
  <w:style w:type="character" w:customStyle="1" w:styleId="WW8Num41z0">
    <w:name w:val="WW8Num41z0"/>
    <w:rPr>
      <w:rFonts w:ascii="Arial" w:hAnsi="Arial" w:cs="Arial"/>
      <w:sz w:val="22"/>
      <w:szCs w:val="22"/>
    </w:rPr>
  </w:style>
  <w:style w:type="character" w:customStyle="1" w:styleId="WW8Num42z0">
    <w:name w:val="WW8Num42z0"/>
  </w:style>
  <w:style w:type="character" w:customStyle="1" w:styleId="WW8Num43z0">
    <w:name w:val="WW8Num43z0"/>
  </w:style>
  <w:style w:type="character" w:customStyle="1" w:styleId="WW8Num43z1">
    <w:name w:val="WW8Num43z1"/>
    <w:rPr>
      <w:rFonts w:ascii="Arial" w:hAnsi="Arial" w:cs="Arial"/>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rPr>
      <w:rFonts w:ascii="Arial" w:hAnsi="Arial" w:cs="Arial"/>
      <w:b w:val="0"/>
      <w:sz w:val="22"/>
      <w:szCs w:val="22"/>
    </w:rPr>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sz w:val="22"/>
      <w:szCs w:val="22"/>
    </w:rPr>
  </w:style>
  <w:style w:type="character" w:customStyle="1" w:styleId="WW8Num46z0">
    <w:name w:val="WW8Num46z0"/>
    <w:rPr>
      <w:rFonts w:ascii="Arial" w:hAnsi="Arial" w:cs="Arial"/>
      <w:sz w:val="22"/>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sz w:val="22"/>
      <w:szCs w:val="22"/>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sz w:val="22"/>
      <w:szCs w:val="22"/>
    </w:rPr>
  </w:style>
  <w:style w:type="character" w:customStyle="1" w:styleId="WW8Num51z0">
    <w:name w:val="WW8Num51z0"/>
    <w:rPr>
      <w:rFonts w:ascii="Arial" w:hAnsi="Arial" w:cs="Arial"/>
      <w:sz w:val="22"/>
      <w:szCs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3z0">
    <w:name w:val="WW8Num53z0"/>
    <w:rPr>
      <w:rFonts w:ascii="Arial" w:eastAsia="MS Mincho" w:hAnsi="Arial" w:cs="Arial"/>
      <w:sz w:val="22"/>
      <w:szCs w:val="22"/>
      <w:lang w:eastAsia="ja-JP"/>
    </w:rPr>
  </w:style>
  <w:style w:type="character" w:customStyle="1" w:styleId="WW8Num53z1">
    <w:name w:val="WW8Num53z1"/>
  </w:style>
  <w:style w:type="character" w:customStyle="1" w:styleId="WW8Num53z2">
    <w:name w:val="WW8Num53z2"/>
    <w:rPr>
      <w:rFonts w:ascii="Arial" w:hAnsi="Arial" w:cs="Arial"/>
      <w:bCs/>
      <w:sz w:val="22"/>
      <w:szCs w:val="22"/>
    </w:rPr>
  </w:style>
  <w:style w:type="character" w:customStyle="1" w:styleId="WW8Num53z3">
    <w:name w:val="WW8Num53z3"/>
  </w:style>
  <w:style w:type="character" w:customStyle="1" w:styleId="WW8Num53z4">
    <w:name w:val="WW8Num53z4"/>
    <w:rPr>
      <w:sz w:val="22"/>
    </w:rPr>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sz w:val="22"/>
    </w:rPr>
  </w:style>
  <w:style w:type="character" w:customStyle="1" w:styleId="WW8Num55z0">
    <w:name w:val="WW8Num55z0"/>
    <w:rPr>
      <w:rFonts w:ascii="Arial" w:hAnsi="Arial" w:cs="Arial"/>
      <w:b w:val="0"/>
      <w:sz w:val="22"/>
    </w:rPr>
  </w:style>
  <w:style w:type="character" w:customStyle="1" w:styleId="WW8Num56z0">
    <w:name w:val="WW8Num56z0"/>
    <w:rPr>
      <w:rFonts w:ascii="Arial" w:hAnsi="Arial" w:cs="Arial"/>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sz w:val="22"/>
      <w:szCs w:val="22"/>
    </w:rPr>
  </w:style>
  <w:style w:type="character" w:customStyle="1" w:styleId="WW8Num58z0">
    <w:name w:val="WW8Num58z0"/>
    <w:rPr>
      <w:rFonts w:ascii="Arial" w:hAnsi="Arial" w:cs="Arial"/>
      <w:sz w:val="22"/>
    </w:rPr>
  </w:style>
  <w:style w:type="character" w:customStyle="1" w:styleId="WW8Num58z1">
    <w:name w:val="WW8Num58z1"/>
  </w:style>
  <w:style w:type="character" w:customStyle="1" w:styleId="WW8Num58z2">
    <w:name w:val="WW8Num58z2"/>
    <w:rPr>
      <w:rFonts w:ascii="Arial" w:hAnsi="Arial" w:cs="Arial"/>
      <w:sz w:val="22"/>
      <w:szCs w:val="2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sz w:val="22"/>
      <w:szCs w:val="22"/>
    </w:rPr>
  </w:style>
  <w:style w:type="character" w:customStyle="1" w:styleId="WW8Num60z0">
    <w:name w:val="WW8Num60z0"/>
  </w:style>
  <w:style w:type="character" w:customStyle="1" w:styleId="WW8Num61z0">
    <w:name w:val="WW8Num61z0"/>
    <w:rPr>
      <w:rFonts w:ascii="Arial" w:hAnsi="Arial" w:cs="Arial"/>
      <w:sz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sz w:val="22"/>
      <w:szCs w:val="22"/>
    </w:rPr>
  </w:style>
  <w:style w:type="character" w:customStyle="1" w:styleId="WW8Num63z0">
    <w:name w:val="WW8Num63z0"/>
    <w:rPr>
      <w:rFonts w:ascii="Arial" w:hAnsi="Arial" w:cs="Arial"/>
      <w:sz w:val="22"/>
      <w:szCs w:val="22"/>
    </w:rPr>
  </w:style>
  <w:style w:type="character" w:customStyle="1" w:styleId="WW8Num64z0">
    <w:name w:val="WW8Num64z0"/>
    <w:rPr>
      <w:rFonts w:ascii="Arial" w:hAnsi="Arial" w:cs="Arial"/>
      <w:sz w:val="22"/>
      <w:szCs w:val="22"/>
    </w:rPr>
  </w:style>
  <w:style w:type="character" w:customStyle="1" w:styleId="WW8Num65z0">
    <w:name w:val="WW8Num65z0"/>
    <w:rPr>
      <w:rFonts w:ascii="Arial" w:eastAsia="Times New Roman" w:hAnsi="Arial" w:cs="Arial"/>
      <w:sz w:val="22"/>
      <w:szCs w:val="22"/>
    </w:rPr>
  </w:style>
  <w:style w:type="character" w:customStyle="1" w:styleId="WW8Num66z0">
    <w:name w:val="WW8Num66z0"/>
    <w:rPr>
      <w:rFonts w:ascii="Arial" w:hAnsi="Arial" w:cs="Arial"/>
      <w:b w:val="0"/>
      <w:sz w:val="22"/>
      <w:szCs w:val="22"/>
    </w:rPr>
  </w:style>
  <w:style w:type="character" w:customStyle="1" w:styleId="WW8Num67z0">
    <w:name w:val="WW8Num67z0"/>
    <w:rPr>
      <w:rFonts w:ascii="Arial" w:hAnsi="Arial" w:cs="Arial"/>
      <w:sz w:val="22"/>
      <w:szCs w:val="22"/>
    </w:rPr>
  </w:style>
  <w:style w:type="character" w:customStyle="1" w:styleId="WW8Num68z0">
    <w:name w:val="WW8Num68z0"/>
    <w:rPr>
      <w:rFonts w:ascii="Arial" w:hAnsi="Arial" w:cs="Arial"/>
    </w:rPr>
  </w:style>
  <w:style w:type="character" w:customStyle="1" w:styleId="WW8Num68z1">
    <w:name w:val="WW8Num68z1"/>
    <w:rPr>
      <w:rFonts w:ascii="Arial" w:hAnsi="Arial" w:cs="Arial"/>
      <w:sz w:val="24"/>
      <w:szCs w:val="24"/>
    </w:rPr>
  </w:style>
  <w:style w:type="character" w:customStyle="1" w:styleId="WW8Num68z2">
    <w:name w:val="WW8Num68z2"/>
    <w:rPr>
      <w:rFonts w:ascii="Arial" w:hAnsi="Arial" w:cs="Arial"/>
      <w:i/>
      <w:iCs/>
      <w:sz w:val="24"/>
      <w:szCs w:val="24"/>
    </w:rPr>
  </w:style>
  <w:style w:type="character" w:customStyle="1" w:styleId="WW8Num68z3">
    <w:name w:val="WW8Num68z3"/>
    <w:rPr>
      <w:rFonts w:ascii="Arial" w:hAnsi="Arial"/>
      <w:b w:val="0"/>
      <w:sz w:val="24"/>
      <w:szCs w:val="24"/>
    </w:rPr>
  </w:style>
  <w:style w:type="character" w:customStyle="1" w:styleId="WW8Num68z4">
    <w:name w:val="WW8Num68z4"/>
  </w:style>
  <w:style w:type="character" w:customStyle="1" w:styleId="WW8Num69z0">
    <w:name w:val="WW8Num69z0"/>
    <w:rPr>
      <w:rFonts w:ascii="Arial" w:hAnsi="Arial" w:cs="Arial"/>
      <w:sz w:val="22"/>
      <w:szCs w:val="22"/>
    </w:rPr>
  </w:style>
  <w:style w:type="character" w:customStyle="1" w:styleId="WW8Num69z2">
    <w:name w:val="WW8Num69z2"/>
  </w:style>
  <w:style w:type="character" w:customStyle="1" w:styleId="WW8Num69z3">
    <w:name w:val="WW8Num69z3"/>
  </w:style>
  <w:style w:type="character" w:customStyle="1" w:styleId="WW8Num69z4">
    <w:name w:val="WW8Num69z4"/>
    <w:rPr>
      <w:rFonts w:ascii="Courier New" w:hAnsi="Courier New" w:cs="Courier New"/>
    </w:rPr>
  </w:style>
  <w:style w:type="character" w:customStyle="1" w:styleId="WW8Num69z5">
    <w:name w:val="WW8Num69z5"/>
    <w:rPr>
      <w:rFonts w:ascii="Wingdings" w:hAnsi="Wingdings" w:cs="Wingdings"/>
    </w:rPr>
  </w:style>
  <w:style w:type="character" w:customStyle="1" w:styleId="WW8Num69z6">
    <w:name w:val="WW8Num69z6"/>
    <w:rPr>
      <w:rFonts w:ascii="Symbol" w:hAnsi="Symbol" w:cs="Symbol"/>
    </w:rPr>
  </w:style>
  <w:style w:type="character" w:customStyle="1" w:styleId="WW8Num70z0">
    <w:name w:val="WW8Num70z0"/>
    <w:rPr>
      <w:rFonts w:ascii="Arial" w:hAnsi="Arial" w:cs="Arial"/>
      <w:sz w:val="22"/>
      <w:szCs w:val="22"/>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rPr>
      <w:rFonts w:ascii="Arial" w:hAnsi="Arial" w:cs="Arial"/>
      <w:sz w:val="22"/>
      <w:szCs w:val="22"/>
    </w:rPr>
  </w:style>
  <w:style w:type="character" w:customStyle="1" w:styleId="WW8Num72z0">
    <w:name w:val="WW8Num72z0"/>
  </w:style>
  <w:style w:type="character" w:customStyle="1" w:styleId="WW8Num72z1">
    <w:name w:val="WW8Num72z1"/>
    <w:rPr>
      <w:rFonts w:ascii="Arial" w:hAnsi="Arial" w:cs="Arial"/>
      <w:sz w:val="22"/>
      <w:szCs w:val="22"/>
    </w:rPr>
  </w:style>
  <w:style w:type="character" w:customStyle="1" w:styleId="WW8Num72z2">
    <w:name w:val="WW8Num72z2"/>
  </w:style>
  <w:style w:type="character" w:customStyle="1" w:styleId="WW8Num72z3">
    <w:name w:val="WW8Num72z3"/>
  </w:style>
  <w:style w:type="character" w:customStyle="1" w:styleId="WW8Num72z4">
    <w:name w:val="WW8Num72z4"/>
    <w:rPr>
      <w:sz w:val="22"/>
    </w:rPr>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hAnsi="Arial" w:cs="Arial"/>
      <w:sz w:val="22"/>
      <w:szCs w:val="22"/>
    </w:rPr>
  </w:style>
  <w:style w:type="character" w:customStyle="1" w:styleId="WW8Num74z0">
    <w:name w:val="WW8Num74z0"/>
    <w:rPr>
      <w:rFonts w:ascii="Arial" w:hAnsi="Arial" w:cs="Arial"/>
      <w:color w:val="auto"/>
      <w:sz w:val="22"/>
      <w:szCs w:val="22"/>
    </w:rPr>
  </w:style>
  <w:style w:type="character" w:customStyle="1" w:styleId="WW8Num75z0">
    <w:name w:val="WW8Num75z0"/>
    <w:rPr>
      <w:rFonts w:ascii="Arial" w:hAnsi="Arial" w:cs="Arial"/>
      <w:b w:val="0"/>
      <w:color w:val="00000A"/>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rPr>
      <w:rFonts w:ascii="Wingdings" w:hAnsi="Wingdings" w:cs="Wingdings"/>
    </w:rPr>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Arial"/>
      <w:b w:val="0"/>
    </w:rPr>
  </w:style>
  <w:style w:type="character" w:customStyle="1" w:styleId="WW8Num76z1">
    <w:name w:val="WW8Num76z1"/>
    <w:rPr>
      <w:rFonts w:ascii="Arial" w:hAnsi="Arial" w:cs="Arial"/>
      <w:sz w:val="22"/>
      <w:szCs w:val="22"/>
    </w:rPr>
  </w:style>
  <w:style w:type="character" w:customStyle="1" w:styleId="WW8Num76z2">
    <w:name w:val="WW8Num76z2"/>
  </w:style>
  <w:style w:type="character" w:customStyle="1" w:styleId="WW8Num76z3">
    <w:name w:val="WW8Num76z3"/>
    <w:rPr>
      <w:rFonts w:ascii="Wingdings" w:hAnsi="Wingdings" w:cs="Wingdings"/>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8z0">
    <w:name w:val="WW8Num78z0"/>
  </w:style>
  <w:style w:type="character" w:customStyle="1" w:styleId="WW8Num79z0">
    <w:name w:val="WW8Num79z0"/>
    <w:rPr>
      <w:rFonts w:ascii="Arial" w:eastAsia="Arial" w:hAnsi="Arial" w:cs="Arial"/>
      <w:sz w:val="22"/>
      <w:szCs w:val="22"/>
    </w:rPr>
  </w:style>
  <w:style w:type="character" w:customStyle="1" w:styleId="WW8Num79z3">
    <w:name w:val="WW8Num79z3"/>
    <w:rPr>
      <w:rFonts w:ascii="Arial" w:eastAsia="Times New Roman" w:hAnsi="Arial" w:cs="Arial"/>
    </w:rPr>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rFonts w:ascii="Arial" w:hAnsi="Arial" w:cs="Arial"/>
      <w:sz w:val="22"/>
      <w:szCs w:val="22"/>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sz w:val="22"/>
      <w:szCs w:val="22"/>
    </w:rPr>
  </w:style>
  <w:style w:type="character" w:customStyle="1" w:styleId="WW8Num82z0">
    <w:name w:val="WW8Num82z0"/>
    <w:rPr>
      <w:rFonts w:ascii="Arial" w:hAnsi="Arial" w:cs="Arial"/>
      <w:sz w:val="22"/>
      <w:szCs w:val="22"/>
      <w:lang w:val="fr-FR"/>
    </w:rPr>
  </w:style>
  <w:style w:type="character" w:customStyle="1" w:styleId="WW8Num83z0">
    <w:name w:val="WW8Num83z0"/>
    <w:rPr>
      <w:rFonts w:ascii="Arial" w:hAnsi="Arial" w:cs="Arial"/>
      <w:sz w:val="22"/>
      <w:szCs w:val="22"/>
    </w:rPr>
  </w:style>
  <w:style w:type="character" w:customStyle="1" w:styleId="WW8Num84z0">
    <w:name w:val="WW8Num84z0"/>
  </w:style>
  <w:style w:type="character" w:customStyle="1" w:styleId="WW8Num84z1">
    <w:name w:val="WW8Num84z1"/>
  </w:style>
  <w:style w:type="character" w:customStyle="1" w:styleId="WW8Num84z2">
    <w:name w:val="WW8Num84z2"/>
    <w:rPr>
      <w:rFonts w:ascii="Arial" w:hAnsi="Arial" w:cs="Arial"/>
      <w:bCs/>
      <w:sz w:val="22"/>
      <w:szCs w:val="22"/>
    </w:rPr>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Arial" w:eastAsia="MS Mincho" w:hAnsi="Arial" w:cs="Arial"/>
      <w:sz w:val="22"/>
      <w:szCs w:val="22"/>
      <w:lang w:eastAsia="ja-JP"/>
    </w:rPr>
  </w:style>
  <w:style w:type="character" w:customStyle="1" w:styleId="WW8Num86z0">
    <w:name w:val="WW8Num86z0"/>
  </w:style>
  <w:style w:type="character" w:customStyle="1" w:styleId="WW8Num87z0">
    <w:name w:val="WW8Num87z0"/>
    <w:rPr>
      <w:rFonts w:ascii="Arial" w:hAnsi="Arial" w:cs="Arial"/>
      <w:sz w:val="22"/>
      <w:szCs w:val="22"/>
    </w:rPr>
  </w:style>
  <w:style w:type="character" w:customStyle="1" w:styleId="WW8Num88z0">
    <w:name w:val="WW8Num88z0"/>
    <w:rPr>
      <w:rFonts w:ascii="Arial" w:hAnsi="Arial" w:cs="Arial"/>
      <w:b w:val="0"/>
    </w:rPr>
  </w:style>
  <w:style w:type="character" w:customStyle="1" w:styleId="WW8Num88z1">
    <w:name w:val="WW8Num88z1"/>
  </w:style>
  <w:style w:type="character" w:customStyle="1" w:styleId="WW8Num88z2">
    <w:name w:val="WW8Num88z2"/>
  </w:style>
  <w:style w:type="character" w:customStyle="1" w:styleId="WW8Num88z3">
    <w:name w:val="WW8Num88z3"/>
    <w:rPr>
      <w:rFonts w:ascii="Wingdings" w:hAnsi="Wingdings" w:cs="Wingdings"/>
    </w:rPr>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eastAsia="MS Mincho"/>
      <w:color w:val="000000"/>
      <w:szCs w:val="22"/>
      <w:lang w:eastAsia="ja-JP"/>
    </w:rPr>
  </w:style>
  <w:style w:type="character" w:customStyle="1" w:styleId="WW8Num90z0">
    <w:name w:val="WW8Num90z0"/>
    <w:rPr>
      <w:rFonts w:ascii="Arial" w:hAnsi="Arial" w:cs="Arial"/>
      <w:sz w:val="22"/>
      <w:szCs w:val="22"/>
    </w:rPr>
  </w:style>
  <w:style w:type="character" w:customStyle="1" w:styleId="WW8Num91z0">
    <w:name w:val="WW8Num91z0"/>
    <w:rPr>
      <w:rFonts w:ascii="Arial" w:hAnsi="Arial" w:cs="Arial"/>
      <w:b w:val="0"/>
      <w:sz w:val="22"/>
    </w:rPr>
  </w:style>
  <w:style w:type="character" w:customStyle="1" w:styleId="WW8Num92z0">
    <w:name w:val="WW8Num92z0"/>
    <w:rPr>
      <w:rFonts w:ascii="Arial" w:hAnsi="Arial" w:cs="Arial"/>
      <w:sz w:val="22"/>
      <w:szCs w:val="22"/>
    </w:rPr>
  </w:style>
  <w:style w:type="character" w:customStyle="1" w:styleId="WW8Num93z0">
    <w:name w:val="WW8Num93z0"/>
    <w:rPr>
      <w:rFonts w:ascii="Arial" w:hAnsi="Arial" w:cs="Arial"/>
      <w:sz w:val="22"/>
      <w:szCs w:val="22"/>
    </w:rPr>
  </w:style>
  <w:style w:type="character" w:customStyle="1" w:styleId="WW8Num94z0">
    <w:name w:val="WW8Num94z0"/>
  </w:style>
  <w:style w:type="character" w:customStyle="1" w:styleId="WW8Num95z0">
    <w:name w:val="WW8Num95z0"/>
    <w:rPr>
      <w:rFonts w:ascii="Arial" w:hAnsi="Arial" w:cs="Arial"/>
      <w:sz w:val="22"/>
    </w:rPr>
  </w:style>
  <w:style w:type="character" w:customStyle="1" w:styleId="WW8Num96z0">
    <w:name w:val="WW8Num96z0"/>
    <w:rPr>
      <w:sz w:val="22"/>
      <w:szCs w:val="22"/>
    </w:rPr>
  </w:style>
  <w:style w:type="character" w:customStyle="1" w:styleId="WW8Num96z1">
    <w:name w:val="WW8Num96z1"/>
    <w:rPr>
      <w:rFonts w:ascii="Arial" w:hAnsi="Arial" w:cs="Arial"/>
      <w:sz w:val="22"/>
      <w:szCs w:val="22"/>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rPr>
      <w:rFonts w:ascii="Arial" w:hAnsi="Arial" w:cs="Arial"/>
      <w:sz w:val="22"/>
      <w:szCs w:val="22"/>
    </w:rPr>
  </w:style>
  <w:style w:type="character" w:customStyle="1" w:styleId="WW8Num97z4">
    <w:name w:val="WW8Num97z4"/>
    <w:rPr>
      <w:rFonts w:ascii="Courier New" w:hAnsi="Courier New" w:cs="Courier New"/>
    </w:rPr>
  </w:style>
  <w:style w:type="character" w:customStyle="1" w:styleId="WW8Num97z5">
    <w:name w:val="WW8Num97z5"/>
    <w:rPr>
      <w:rFonts w:ascii="Wingdings" w:hAnsi="Wingdings" w:cs="Wingdings"/>
    </w:rPr>
  </w:style>
  <w:style w:type="character" w:customStyle="1" w:styleId="WW8Num97z6">
    <w:name w:val="WW8Num97z6"/>
    <w:rPr>
      <w:rFonts w:ascii="Symbol" w:hAnsi="Symbol" w:cs="Symbol"/>
    </w:rPr>
  </w:style>
  <w:style w:type="character" w:customStyle="1" w:styleId="WW8Num98z0">
    <w:name w:val="WW8Num98z0"/>
    <w:rPr>
      <w:rFonts w:ascii="Arial" w:hAnsi="Arial" w:cs="Arial"/>
      <w:i/>
      <w:sz w:val="22"/>
      <w:szCs w:val="22"/>
    </w:rPr>
  </w:style>
  <w:style w:type="character" w:customStyle="1" w:styleId="WW8Num99z0">
    <w:name w:val="WW8Num99z0"/>
    <w:rPr>
      <w:rFonts w:ascii="Arial" w:hAnsi="Arial" w:cs="Arial"/>
      <w:sz w:val="22"/>
      <w:szCs w:val="22"/>
    </w:rPr>
  </w:style>
  <w:style w:type="character" w:customStyle="1" w:styleId="WW8Num100z0">
    <w:name w:val="WW8Num100z0"/>
  </w:style>
  <w:style w:type="character" w:customStyle="1" w:styleId="WW8Num100z1">
    <w:name w:val="WW8Num100z1"/>
    <w:rPr>
      <w:rFonts w:ascii="Arial" w:hAnsi="Arial" w:cs="Arial"/>
      <w:sz w:val="22"/>
      <w:szCs w:val="22"/>
    </w:rPr>
  </w:style>
  <w:style w:type="character" w:customStyle="1" w:styleId="WW8Num100z2">
    <w:name w:val="WW8Num100z2"/>
    <w:rPr>
      <w:rFonts w:ascii="Arial" w:hAnsi="Arial" w:cs="Arial"/>
      <w:bCs/>
      <w:sz w:val="22"/>
      <w:szCs w:val="22"/>
    </w:rPr>
  </w:style>
  <w:style w:type="character" w:customStyle="1" w:styleId="WW8Num100z3">
    <w:name w:val="WW8Num100z3"/>
  </w:style>
  <w:style w:type="character" w:customStyle="1" w:styleId="WW8Num100z4">
    <w:name w:val="WW8Num100z4"/>
    <w:rPr>
      <w:sz w:val="22"/>
    </w:rPr>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Arial" w:eastAsia="MS Mincho" w:hAnsi="Arial" w:cs="Arial"/>
      <w:bCs/>
      <w:sz w:val="22"/>
      <w:szCs w:val="22"/>
      <w:lang w:eastAsia="ja-JP"/>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Arial" w:hAnsi="Arial" w:cs="Arial"/>
      <w:sz w:val="22"/>
      <w:szCs w:val="22"/>
    </w:rPr>
  </w:style>
  <w:style w:type="character" w:customStyle="1" w:styleId="WW8Num103z0">
    <w:name w:val="WW8Num103z0"/>
    <w:rPr>
      <w:rFonts w:ascii="Arial" w:hAnsi="Arial" w:cs="Arial"/>
      <w:sz w:val="22"/>
      <w:szCs w:val="22"/>
    </w:rPr>
  </w:style>
  <w:style w:type="character" w:customStyle="1" w:styleId="WW8Num104z0">
    <w:name w:val="WW8Num104z0"/>
    <w:rPr>
      <w:rFonts w:ascii="Arial" w:hAnsi="Arial" w:cs="Arial"/>
      <w:b w:val="0"/>
    </w:rPr>
  </w:style>
  <w:style w:type="character" w:customStyle="1" w:styleId="WW8Num104z1">
    <w:name w:val="WW8Num104z1"/>
    <w:rPr>
      <w:rFonts w:ascii="Arial" w:hAnsi="Arial" w:cs="Arial"/>
      <w:sz w:val="22"/>
    </w:rPr>
  </w:style>
  <w:style w:type="character" w:customStyle="1" w:styleId="WW8Num104z2">
    <w:name w:val="WW8Num104z2"/>
  </w:style>
  <w:style w:type="character" w:customStyle="1" w:styleId="WW8Num104z3">
    <w:name w:val="WW8Num104z3"/>
    <w:rPr>
      <w:rFonts w:ascii="Wingdings" w:hAnsi="Wingdings" w:cs="Wingdings"/>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hAnsi="Arial" w:cs="Arial"/>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w:eastAsia="MS Mincho" w:hAnsi="Arial" w:cs="Arial"/>
      <w:color w:val="000000"/>
      <w:sz w:val="22"/>
      <w:szCs w:val="22"/>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eastAsia="MS Mincho" w:hAnsi="Arial" w:cs="Arial"/>
      <w:color w:val="000000"/>
      <w:sz w:val="22"/>
      <w:szCs w:val="22"/>
      <w:lang w:eastAsia="ja-JP"/>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rPr>
      <w:rFonts w:ascii="Arial" w:hAnsi="Arial" w:cs="Arial"/>
      <w:sz w:val="22"/>
      <w:szCs w:val="22"/>
    </w:rPr>
  </w:style>
  <w:style w:type="character" w:customStyle="1" w:styleId="WW8Num108z6">
    <w:name w:val="WW8Num108z6"/>
    <w:rPr>
      <w:rFonts w:ascii="Arial" w:hAnsi="Arial" w:cs="Arial"/>
      <w:sz w:val="22"/>
      <w:szCs w:val="22"/>
    </w:rPr>
  </w:style>
  <w:style w:type="character" w:customStyle="1" w:styleId="WW8Num108z7">
    <w:name w:val="WW8Num108z7"/>
    <w:rPr>
      <w:rFonts w:ascii="Arial" w:hAnsi="Arial" w:cs="Arial"/>
      <w:b w:val="0"/>
      <w:i w:val="0"/>
      <w:sz w:val="22"/>
      <w:szCs w:val="22"/>
    </w:rPr>
  </w:style>
  <w:style w:type="character" w:customStyle="1" w:styleId="WW8Num108z8">
    <w:name w:val="WW8Num108z8"/>
  </w:style>
  <w:style w:type="character" w:customStyle="1" w:styleId="WW8Num109z0">
    <w:name w:val="WW8Num109z0"/>
    <w:rPr>
      <w:rFonts w:ascii="Arial" w:hAnsi="Arial" w:cs="Arial"/>
      <w:sz w:val="22"/>
      <w:szCs w:val="22"/>
    </w:rPr>
  </w:style>
  <w:style w:type="character" w:customStyle="1" w:styleId="WW8Num110z0">
    <w:name w:val="WW8Num110z0"/>
    <w:rPr>
      <w:rFonts w:ascii="Arial" w:hAnsi="Arial" w:cs="Arial"/>
      <w:sz w:val="22"/>
      <w:szCs w:val="22"/>
    </w:rPr>
  </w:style>
  <w:style w:type="character" w:customStyle="1" w:styleId="WW8Num111z0">
    <w:name w:val="WW8Num111z0"/>
    <w:rPr>
      <w:rFonts w:ascii="Arial" w:hAnsi="Arial" w:cs="Arial"/>
      <w:sz w:val="22"/>
      <w:szCs w:val="22"/>
    </w:rPr>
  </w:style>
  <w:style w:type="character" w:customStyle="1" w:styleId="WW8Num112z0">
    <w:name w:val="WW8Num112z0"/>
  </w:style>
  <w:style w:type="character" w:customStyle="1" w:styleId="WW8Num113z0">
    <w:name w:val="WW8Num113z0"/>
    <w:rPr>
      <w:rFonts w:ascii="Arial" w:hAnsi="Arial" w:cs="Arial"/>
      <w:sz w:val="22"/>
      <w:szCs w:val="22"/>
    </w:rPr>
  </w:style>
  <w:style w:type="character" w:customStyle="1" w:styleId="WW8Num114z0">
    <w:name w:val="WW8Num114z0"/>
  </w:style>
  <w:style w:type="character" w:customStyle="1" w:styleId="WW8Num114z1">
    <w:name w:val="WW8Num114z1"/>
    <w:rPr>
      <w:rFonts w:ascii="Arial" w:eastAsia="TTE278EC88t00" w:hAnsi="Arial" w:cs="Arial"/>
      <w:spacing w:val="2"/>
      <w:sz w:val="22"/>
      <w:szCs w:val="22"/>
      <w:u w:val="none"/>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rPr>
      <w:rFonts w:ascii="Arial" w:eastAsia="TTE278EC88t00" w:hAnsi="Arial" w:cs="Arial"/>
      <w:sz w:val="22"/>
      <w:szCs w:val="22"/>
    </w:rPr>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7z0">
    <w:name w:val="WW8Num117z0"/>
  </w:style>
  <w:style w:type="character" w:customStyle="1" w:styleId="WW8Num117z1">
    <w:name w:val="WW8Num117z1"/>
  </w:style>
  <w:style w:type="character" w:customStyle="1" w:styleId="WW8Num117z2">
    <w:name w:val="WW8Num117z2"/>
    <w:rPr>
      <w:rFonts w:ascii="Arial" w:hAnsi="Arial" w:cs="Arial"/>
      <w:sz w:val="22"/>
      <w:szCs w:val="22"/>
    </w:rPr>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Arial" w:hAnsi="Arial" w:cs="Arial"/>
      <w:bCs/>
      <w:sz w:val="22"/>
      <w:szCs w:val="22"/>
    </w:rPr>
  </w:style>
  <w:style w:type="character" w:customStyle="1" w:styleId="WW8Num119z0">
    <w:name w:val="WW8Num119z0"/>
    <w:rPr>
      <w:rFonts w:ascii="Arial" w:hAnsi="Arial" w:cs="Arial"/>
      <w:sz w:val="22"/>
      <w:u w:val="none"/>
    </w:rPr>
  </w:style>
  <w:style w:type="character" w:customStyle="1" w:styleId="WW8Num120z0">
    <w:name w:val="WW8Num120z0"/>
    <w:rPr>
      <w:rFonts w:ascii="Arial" w:hAnsi="Arial" w:cs="Arial"/>
      <w:sz w:val="22"/>
    </w:rPr>
  </w:style>
  <w:style w:type="character" w:customStyle="1" w:styleId="WW8Num121z0">
    <w:name w:val="WW8Num121z0"/>
    <w:rPr>
      <w:rFonts w:ascii="Arial" w:hAnsi="Arial" w:cs="Arial"/>
      <w:bCs/>
      <w:sz w:val="22"/>
      <w:szCs w:val="22"/>
    </w:rPr>
  </w:style>
  <w:style w:type="character" w:customStyle="1" w:styleId="WW8Num121z1">
    <w:name w:val="WW8Num121z1"/>
    <w:rPr>
      <w:rFonts w:ascii="Arial" w:hAnsi="Arial" w:cs="Arial"/>
      <w:sz w:val="22"/>
      <w:szCs w:val="22"/>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Arial" w:hAnsi="Arial" w:cs="Arial"/>
      <w:i w:val="0"/>
      <w:sz w:val="22"/>
      <w:szCs w:val="22"/>
    </w:rPr>
  </w:style>
  <w:style w:type="character" w:customStyle="1" w:styleId="WW8Num123z0">
    <w:name w:val="WW8Num123z0"/>
    <w:rPr>
      <w:rFonts w:ascii="Arial" w:hAnsi="Arial" w:cs="Arial"/>
      <w:i/>
      <w:sz w:val="22"/>
    </w:rPr>
  </w:style>
  <w:style w:type="character" w:customStyle="1" w:styleId="WW8Num124z0">
    <w:name w:val="WW8Num124z0"/>
    <w:rPr>
      <w:rFonts w:ascii="Arial" w:hAnsi="Arial" w:cs="Arial"/>
      <w:sz w:val="22"/>
      <w:szCs w:val="22"/>
    </w:rPr>
  </w:style>
  <w:style w:type="character" w:customStyle="1" w:styleId="WW8Num125z0">
    <w:name w:val="WW8Num125z0"/>
    <w:rPr>
      <w:rFonts w:ascii="Arial" w:hAnsi="Arial" w:cs="Arial"/>
      <w:bCs/>
      <w:i w:val="0"/>
      <w:sz w:val="22"/>
      <w:szCs w:val="22"/>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Arial" w:hAnsi="Arial" w:cs="Arial"/>
      <w:sz w:val="22"/>
      <w:szCs w:val="22"/>
      <w:lang w:eastAsia="en-US"/>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b w:val="0"/>
    </w:rPr>
  </w:style>
  <w:style w:type="character" w:customStyle="1" w:styleId="WW8Num127z1">
    <w:name w:val="WW8Num127z1"/>
  </w:style>
  <w:style w:type="character" w:customStyle="1" w:styleId="WW8Num127z3">
    <w:name w:val="WW8Num127z3"/>
    <w:rPr>
      <w:rFonts w:ascii="Wingdings" w:hAnsi="Wingdings" w:cs="Wingdings"/>
    </w:rPr>
  </w:style>
  <w:style w:type="character" w:customStyle="1" w:styleId="WW8Num128z0">
    <w:name w:val="WW8Num128z0"/>
    <w:rPr>
      <w:rFonts w:ascii="Arial" w:hAnsi="Arial" w:cs="Arial"/>
      <w:sz w:val="22"/>
      <w:szCs w:val="22"/>
    </w:rPr>
  </w:style>
  <w:style w:type="character" w:customStyle="1" w:styleId="WW8Num129z0">
    <w:name w:val="WW8Num129z0"/>
    <w:rPr>
      <w:rFonts w:ascii="Arial" w:eastAsia="TTE278EC88t00" w:hAnsi="Arial" w:cs="Arial"/>
      <w:color w:val="auto"/>
      <w:sz w:val="22"/>
      <w:szCs w:val="22"/>
      <w:lang w:eastAsia="en-US"/>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Arial" w:hAnsi="Arial" w:cs="Arial"/>
      <w:sz w:val="22"/>
      <w:szCs w:val="22"/>
    </w:rPr>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Arial" w:eastAsia="MS Mincho" w:hAnsi="Arial" w:cs="Arial"/>
      <w:color w:val="000000"/>
      <w:sz w:val="22"/>
      <w:szCs w:val="22"/>
      <w:lang w:eastAsia="ja-JP"/>
    </w:rPr>
  </w:style>
  <w:style w:type="character" w:customStyle="1" w:styleId="WW8Num132z0">
    <w:name w:val="WW8Num132z0"/>
    <w:rPr>
      <w:rFonts w:ascii="Arial" w:eastAsia="Calibri" w:hAnsi="Arial" w:cs="Arial"/>
      <w:bCs/>
      <w:sz w:val="22"/>
      <w:szCs w:val="22"/>
    </w:rPr>
  </w:style>
  <w:style w:type="character" w:customStyle="1" w:styleId="WW8Num133z0">
    <w:name w:val="WW8Num133z0"/>
    <w:rPr>
      <w:rFonts w:ascii="Arial" w:hAnsi="Arial" w:cs="Arial"/>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Arial" w:hAnsi="Arial" w:cs="Arial"/>
      <w:sz w:val="22"/>
      <w:szCs w:val="22"/>
    </w:rPr>
  </w:style>
  <w:style w:type="character" w:customStyle="1" w:styleId="WW8Num134z1">
    <w:name w:val="WW8Num134z1"/>
    <w:rPr>
      <w:rFonts w:ascii="Arial" w:eastAsia="Times New Roman" w:hAnsi="Arial" w:cs="Times New Roman"/>
    </w:rPr>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Arial" w:hAnsi="Arial" w:cs="Arial"/>
      <w:sz w:val="22"/>
      <w:szCs w:val="22"/>
    </w:rPr>
  </w:style>
  <w:style w:type="character" w:customStyle="1" w:styleId="WW8Num136z0">
    <w:name w:val="WW8Num136z0"/>
  </w:style>
  <w:style w:type="character" w:customStyle="1" w:styleId="WW8Num136z1">
    <w:name w:val="WW8Num136z1"/>
    <w:rPr>
      <w:rFonts w:ascii="Arial" w:hAnsi="Arial" w:cs="Arial"/>
      <w:bCs/>
      <w:sz w:val="22"/>
      <w:szCs w:val="22"/>
    </w:rPr>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Arial" w:hAnsi="Arial" w:cs="Arial"/>
      <w:b w:val="0"/>
      <w:sz w:val="22"/>
      <w:szCs w:val="22"/>
    </w:rPr>
  </w:style>
  <w:style w:type="character" w:customStyle="1" w:styleId="WW8Num137z1">
    <w:name w:val="WW8Num137z1"/>
    <w:rPr>
      <w:rFonts w:ascii="Arial" w:hAnsi="Arial" w:cs="Arial"/>
      <w:sz w:val="22"/>
      <w:szCs w:val="22"/>
    </w:rPr>
  </w:style>
  <w:style w:type="character" w:customStyle="1" w:styleId="WW8Num137z3">
    <w:name w:val="WW8Num137z3"/>
    <w:rPr>
      <w:rFonts w:ascii="Wingdings" w:hAnsi="Wingdings" w:cs="Wingdings"/>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eastAsia="Times New Roman" w:hAnsi="Arial" w:cs="Arial"/>
    </w:rPr>
  </w:style>
  <w:style w:type="character" w:customStyle="1" w:styleId="WW8Num138z1">
    <w:name w:val="WW8Num138z1"/>
    <w:rPr>
      <w:rFonts w:ascii="Arial" w:hAnsi="Arial" w:cs="Arial"/>
      <w:bCs/>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rPr>
      <w:rFonts w:ascii="Courier New" w:hAnsi="Courier New" w:cs="Courier New"/>
    </w:rPr>
  </w:style>
  <w:style w:type="character" w:customStyle="1" w:styleId="WW8Num138z5">
    <w:name w:val="WW8Num138z5"/>
    <w:rPr>
      <w:rFonts w:ascii="Wingdings" w:hAnsi="Wingdings" w:cs="Wingdings"/>
    </w:rPr>
  </w:style>
  <w:style w:type="character" w:customStyle="1" w:styleId="WW8Num138z6">
    <w:name w:val="WW8Num138z6"/>
    <w:rPr>
      <w:rFonts w:ascii="Symbol" w:hAnsi="Symbol" w:cs="Symbol"/>
    </w:rPr>
  </w:style>
  <w:style w:type="character" w:customStyle="1" w:styleId="WW8Num139z0">
    <w:name w:val="WW8Num139z0"/>
    <w:rPr>
      <w:rFonts w:ascii="Wingdings" w:hAnsi="Wingdings" w:cs="Times New Roman"/>
      <w:sz w:val="22"/>
      <w:szCs w:val="22"/>
    </w:rPr>
  </w:style>
  <w:style w:type="character" w:customStyle="1" w:styleId="WW8Num140z0">
    <w:name w:val="WW8Num140z0"/>
  </w:style>
  <w:style w:type="character" w:customStyle="1" w:styleId="WW8Num140z1">
    <w:name w:val="WW8Num140z1"/>
  </w:style>
  <w:style w:type="character" w:customStyle="1" w:styleId="WW8Num140z2">
    <w:name w:val="WW8Num140z2"/>
    <w:rPr>
      <w:rFonts w:ascii="Arial" w:eastAsia="TTE278EC88t00" w:hAnsi="Arial" w:cs="Arial"/>
      <w:sz w:val="22"/>
      <w:szCs w:val="22"/>
      <w:lang w:eastAsia="en-US"/>
    </w:rPr>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Arial" w:eastAsia="Calibri" w:hAnsi="Arial" w:cs="Arial"/>
      <w:sz w:val="22"/>
      <w:szCs w:val="22"/>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Arial" w:eastAsia="MS Mincho" w:hAnsi="Arial" w:cs="Arial"/>
      <w:sz w:val="22"/>
      <w:szCs w:val="22"/>
      <w:lang w:eastAsia="ja-JP"/>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Arial" w:hAnsi="Arial" w:cs="Arial"/>
      <w:sz w:val="22"/>
      <w:szCs w:val="22"/>
    </w:rPr>
  </w:style>
  <w:style w:type="character" w:customStyle="1" w:styleId="WW8Num143z1">
    <w:name w:val="WW8Num143z1"/>
    <w:rPr>
      <w:sz w:val="22"/>
      <w:szCs w:val="22"/>
    </w:rPr>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Arial" w:hAnsi="Arial" w:cs="Arial"/>
    </w:rPr>
  </w:style>
  <w:style w:type="character" w:customStyle="1" w:styleId="WW8Num144z1">
    <w:name w:val="WW8Num144z1"/>
    <w:rPr>
      <w:rFonts w:ascii="Arial" w:hAnsi="Arial" w:cs="Arial"/>
      <w:sz w:val="24"/>
      <w:szCs w:val="24"/>
    </w:rPr>
  </w:style>
  <w:style w:type="character" w:customStyle="1" w:styleId="WW8Num144z2">
    <w:name w:val="WW8Num144z2"/>
    <w:rPr>
      <w:rFonts w:ascii="Arial" w:hAnsi="Arial" w:cs="Arial"/>
      <w:i/>
      <w:iCs/>
      <w:sz w:val="24"/>
      <w:szCs w:val="24"/>
    </w:rPr>
  </w:style>
  <w:style w:type="character" w:customStyle="1" w:styleId="WW8Num144z3">
    <w:name w:val="WW8Num144z3"/>
    <w:rPr>
      <w:b w:val="0"/>
      <w:sz w:val="24"/>
      <w:szCs w:val="24"/>
    </w:rPr>
  </w:style>
  <w:style w:type="character" w:customStyle="1" w:styleId="WW8Num144z4">
    <w:name w:val="WW8Num144z4"/>
  </w:style>
  <w:style w:type="character" w:customStyle="1" w:styleId="WW8Num145z0">
    <w:name w:val="WW8Num145z0"/>
    <w:rPr>
      <w:rFonts w:eastAsia="Arial"/>
      <w:sz w:val="24"/>
      <w:szCs w:val="22"/>
    </w:rPr>
  </w:style>
  <w:style w:type="character" w:customStyle="1" w:styleId="WW8Num146z0">
    <w:name w:val="WW8Num146z0"/>
    <w:rPr>
      <w:rFonts w:ascii="Times New Roman" w:hAnsi="Times New Roman" w:cs="Times New Roman"/>
      <w:sz w:val="24"/>
    </w:rPr>
  </w:style>
  <w:style w:type="character" w:customStyle="1" w:styleId="WW8Num146z1">
    <w:name w:val="WW8Num146z1"/>
    <w:rPr>
      <w:rFonts w:ascii="Arial" w:hAnsi="Arial" w:cs="Arial"/>
      <w:i/>
      <w:sz w:val="24"/>
      <w:szCs w:val="22"/>
    </w:rPr>
  </w:style>
  <w:style w:type="character" w:customStyle="1" w:styleId="WW8Num146z2">
    <w:name w:val="WW8Num146z2"/>
    <w:rPr>
      <w:rFonts w:ascii="Arial" w:hAnsi="Arial" w:cs="Arial"/>
      <w:sz w:val="24"/>
      <w:szCs w:val="22"/>
    </w:rPr>
  </w:style>
  <w:style w:type="character" w:customStyle="1" w:styleId="WW8Num147z0">
    <w:name w:val="WW8Num147z0"/>
    <w:rPr>
      <w:rFonts w:ascii="Arial" w:eastAsia="Calibri" w:hAnsi="Arial" w:cs="Arial"/>
      <w:sz w:val="20"/>
      <w:szCs w:val="20"/>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Wingdings" w:hAnsi="Wingdings" w:cs="Wingdings"/>
      <w:i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4">
    <w:name w:val="WW8Num30z4"/>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rPr>
      <w:rFonts w:ascii="Arial" w:eastAsia="Times New Roman" w:hAnsi="Arial" w:cs="Times New Roman"/>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rPr>
      <w:rFonts w:ascii="Arial" w:hAnsi="Arial" w:cs="Arial"/>
      <w:b w:val="0"/>
      <w:sz w:val="22"/>
      <w:szCs w:val="22"/>
    </w:rPr>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Arial" w:hAnsi="Arial" w:cs="Arial"/>
      <w:sz w:val="22"/>
      <w:szCs w:val="22"/>
    </w:rPr>
  </w:style>
  <w:style w:type="character" w:customStyle="1" w:styleId="WW8Num62z1">
    <w:name w:val="WW8Num62z1"/>
    <w:rPr>
      <w:rFonts w:ascii="Wingdings" w:hAnsi="Wingdings" w:cs="Wingdings"/>
      <w:i w:val="0"/>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1">
    <w:name w:val="WW8Num65z1"/>
  </w:style>
  <w:style w:type="character" w:customStyle="1" w:styleId="WW8Num65z2">
    <w:name w:val="WW8Num65z2"/>
    <w:rPr>
      <w:rFonts w:ascii="Arial" w:hAnsi="Arial" w:cs="Arial"/>
      <w:sz w:val="22"/>
      <w:szCs w:val="22"/>
    </w:rPr>
  </w:style>
  <w:style w:type="character" w:customStyle="1" w:styleId="WW8Num65z3">
    <w:name w:val="WW8Num65z3"/>
  </w:style>
  <w:style w:type="character" w:customStyle="1" w:styleId="WW8Num65z4">
    <w:name w:val="WW8Num65z4"/>
    <w:rPr>
      <w:sz w:val="22"/>
    </w:rPr>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sz w:val="22"/>
      <w:szCs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rPr>
      <w:rFonts w:ascii="Arial" w:hAnsi="Arial" w:cs="Arial"/>
      <w:sz w:val="24"/>
      <w:szCs w:val="24"/>
    </w:rPr>
  </w:style>
  <w:style w:type="character" w:customStyle="1" w:styleId="WW8Num86z2">
    <w:name w:val="WW8Num86z2"/>
    <w:rPr>
      <w:rFonts w:ascii="Arial" w:hAnsi="Arial" w:cs="Arial"/>
      <w:i/>
      <w:iCs/>
      <w:sz w:val="24"/>
      <w:szCs w:val="24"/>
    </w:rPr>
  </w:style>
  <w:style w:type="character" w:customStyle="1" w:styleId="WW8Num86z3">
    <w:name w:val="WW8Num86z3"/>
    <w:rPr>
      <w:b w:val="0"/>
      <w:sz w:val="24"/>
      <w:szCs w:val="24"/>
    </w:rPr>
  </w:style>
  <w:style w:type="character" w:customStyle="1" w:styleId="WW8Num87z2">
    <w:name w:val="WW8Num87z2"/>
  </w:style>
  <w:style w:type="character" w:customStyle="1" w:styleId="WW8Num87z3">
    <w:name w:val="WW8Num87z3"/>
  </w:style>
  <w:style w:type="character" w:customStyle="1" w:styleId="WW8Num87z4">
    <w:name w:val="WW8Num87z4"/>
    <w:rPr>
      <w:rFonts w:ascii="Courier New" w:hAnsi="Courier New" w:cs="Courier New"/>
    </w:rPr>
  </w:style>
  <w:style w:type="character" w:customStyle="1" w:styleId="WW8Num87z5">
    <w:name w:val="WW8Num87z5"/>
    <w:rPr>
      <w:rFonts w:ascii="Wingdings" w:hAnsi="Wingdings" w:cs="Wingdings"/>
    </w:rPr>
  </w:style>
  <w:style w:type="character" w:customStyle="1" w:styleId="WW8Num87z6">
    <w:name w:val="WW8Num87z6"/>
    <w:rPr>
      <w:rFonts w:ascii="Symbol" w:hAnsi="Symbol" w:cs="Symbol"/>
    </w:rPr>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rPr>
      <w:rFonts w:ascii="Arial" w:hAnsi="Arial" w:cs="Arial"/>
      <w:sz w:val="22"/>
      <w:szCs w:val="22"/>
    </w:rPr>
  </w:style>
  <w:style w:type="character" w:customStyle="1" w:styleId="WW8Num91z1">
    <w:name w:val="WW8Num91z1"/>
    <w:rPr>
      <w:rFonts w:ascii="Arial" w:hAnsi="Arial" w:cs="Arial"/>
      <w:sz w:val="22"/>
      <w:szCs w:val="22"/>
    </w:rPr>
  </w:style>
  <w:style w:type="character" w:customStyle="1" w:styleId="WW8Num91z2">
    <w:name w:val="WW8Num91z2"/>
  </w:style>
  <w:style w:type="character" w:customStyle="1" w:styleId="WW8Num91z3">
    <w:name w:val="WW8Num91z3"/>
  </w:style>
  <w:style w:type="character" w:customStyle="1" w:styleId="WW8Num91z4">
    <w:name w:val="WW8Num91z4"/>
    <w:rPr>
      <w:sz w:val="22"/>
    </w:rPr>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rPr>
      <w:rFonts w:ascii="Arial" w:eastAsia="Times New Roman" w:hAnsi="Arial" w:cs="Arial"/>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1">
    <w:name w:val="WW8Num94z1"/>
  </w:style>
  <w:style w:type="character" w:customStyle="1" w:styleId="WW8Num94z2">
    <w:name w:val="WW8Num94z2"/>
  </w:style>
  <w:style w:type="character" w:customStyle="1" w:styleId="WW8Num94z3">
    <w:name w:val="WW8Num94z3"/>
    <w:rPr>
      <w:rFonts w:ascii="Wingdings" w:hAnsi="Wingdings" w:cs="Wingdings"/>
    </w:rPr>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rPr>
      <w:rFonts w:ascii="Arial" w:hAnsi="Arial" w:cs="Arial"/>
      <w:sz w:val="22"/>
      <w:szCs w:val="22"/>
    </w:rPr>
  </w:style>
  <w:style w:type="character" w:customStyle="1" w:styleId="WW8Num95z2">
    <w:name w:val="WW8Num95z2"/>
  </w:style>
  <w:style w:type="character" w:customStyle="1" w:styleId="WW8Num95z3">
    <w:name w:val="WW8Num95z3"/>
    <w:rPr>
      <w:rFonts w:ascii="Wingdings" w:hAnsi="Wingdings" w:cs="Wingdings"/>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2">
    <w:name w:val="WW8Num97z2"/>
  </w:style>
  <w:style w:type="character" w:customStyle="1" w:styleId="WW8Num97z3">
    <w:name w:val="WW8Num97z3"/>
  </w:style>
  <w:style w:type="character" w:customStyle="1" w:styleId="WW8Num97z7">
    <w:name w:val="WW8Num97z7"/>
  </w:style>
  <w:style w:type="character" w:customStyle="1" w:styleId="WW8Num97z8">
    <w:name w:val="WW8Num97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3">
    <w:name w:val="WW8Num99z3"/>
    <w:rPr>
      <w:rFonts w:ascii="Arial" w:eastAsia="Times New Roman" w:hAnsi="Arial" w:cs="Arial"/>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1">
    <w:name w:val="WW8Num105z1"/>
  </w:style>
  <w:style w:type="character" w:customStyle="1" w:styleId="WW8Num107z1">
    <w:name w:val="WW8Num107z1"/>
  </w:style>
  <w:style w:type="character" w:customStyle="1" w:styleId="WW8Num107z2">
    <w:name w:val="WW8Num107z2"/>
    <w:rPr>
      <w:rFonts w:ascii="Arial" w:hAnsi="Arial" w:cs="Arial"/>
      <w:bCs/>
      <w:sz w:val="22"/>
      <w:szCs w:val="22"/>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rPr>
      <w:rFonts w:ascii="Wingdings" w:hAnsi="Wingdings" w:cs="Wingdings"/>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rPr>
      <w:rFonts w:ascii="Arial" w:hAnsi="Arial" w:cs="Arial"/>
      <w:sz w:val="22"/>
      <w:szCs w:val="22"/>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1">
    <w:name w:val="WW8Num120z1"/>
    <w:rPr>
      <w:rFonts w:ascii="Arial" w:hAnsi="Arial" w:cs="Arial"/>
      <w:sz w:val="22"/>
      <w:szCs w:val="22"/>
    </w:rPr>
  </w:style>
  <w:style w:type="character" w:customStyle="1" w:styleId="WW8Num120z4">
    <w:name w:val="WW8Num120z4"/>
    <w:rPr>
      <w:rFonts w:ascii="Courier New" w:hAnsi="Courier New" w:cs="Courier New"/>
    </w:rPr>
  </w:style>
  <w:style w:type="character" w:customStyle="1" w:styleId="WW8Num120z5">
    <w:name w:val="WW8Num120z5"/>
    <w:rPr>
      <w:rFonts w:ascii="Wingdings" w:hAnsi="Wingdings" w:cs="Wingdings"/>
    </w:rPr>
  </w:style>
  <w:style w:type="character" w:customStyle="1" w:styleId="WW8Num120z6">
    <w:name w:val="WW8Num120z6"/>
    <w:rPr>
      <w:rFonts w:ascii="Symbol" w:hAnsi="Symbol" w:cs="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1">
    <w:name w:val="WW8Num123z1"/>
    <w:rPr>
      <w:rFonts w:ascii="Arial" w:hAnsi="Arial" w:cs="Arial"/>
      <w:sz w:val="22"/>
      <w:szCs w:val="22"/>
    </w:rPr>
  </w:style>
  <w:style w:type="character" w:customStyle="1" w:styleId="WW8Num123z2">
    <w:name w:val="WW8Num123z2"/>
    <w:rPr>
      <w:rFonts w:ascii="Arial" w:hAnsi="Arial" w:cs="Arial"/>
      <w:sz w:val="22"/>
      <w:szCs w:val="22"/>
    </w:rPr>
  </w:style>
  <w:style w:type="character" w:customStyle="1" w:styleId="WW8Num123z3">
    <w:name w:val="WW8Num123z3"/>
  </w:style>
  <w:style w:type="character" w:customStyle="1" w:styleId="WW8Num123z4">
    <w:name w:val="WW8Num123z4"/>
    <w:rPr>
      <w:sz w:val="22"/>
    </w:rPr>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6z1">
    <w:name w:val="WW8Num126z1"/>
  </w:style>
  <w:style w:type="character" w:customStyle="1" w:styleId="WW8Num127z2">
    <w:name w:val="WW8Num127z2"/>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1">
    <w:name w:val="WW8Num128z1"/>
    <w:rPr>
      <w:rFonts w:ascii="Arial" w:hAnsi="Arial" w:cs="Arial"/>
      <w:sz w:val="22"/>
    </w:rPr>
  </w:style>
  <w:style w:type="character" w:customStyle="1" w:styleId="WW8Num128z2">
    <w:name w:val="WW8Num128z2"/>
  </w:style>
  <w:style w:type="character" w:customStyle="1" w:styleId="WW8Num128z3">
    <w:name w:val="WW8Num128z3"/>
    <w:rPr>
      <w:rFonts w:ascii="Wingdings" w:hAnsi="Wingdings" w:cs="Wingdings"/>
    </w:rPr>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30z1">
    <w:name w:val="WW8Num130z1"/>
  </w:style>
  <w:style w:type="character" w:customStyle="1" w:styleId="WW8Num130z2">
    <w:name w:val="WW8Num130z2"/>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1">
    <w:name w:val="WW8Num133z1"/>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7z2">
    <w:name w:val="WW8Num137z2"/>
  </w:style>
  <w:style w:type="character" w:customStyle="1" w:styleId="WW8Num138z7">
    <w:name w:val="WW8Num138z7"/>
  </w:style>
  <w:style w:type="character" w:customStyle="1" w:styleId="WW8Num138z8">
    <w:name w:val="WW8Num138z8"/>
  </w:style>
  <w:style w:type="character" w:customStyle="1" w:styleId="WW8Num143z2">
    <w:name w:val="WW8Num143z2"/>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8z0">
    <w:name w:val="WW8Num148z0"/>
    <w:rPr>
      <w:rFonts w:ascii="Arial" w:hAnsi="Arial" w:cs="Arial"/>
      <w:sz w:val="22"/>
      <w:u w:val="none"/>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Arial" w:hAnsi="Arial" w:cs="Arial"/>
      <w:bCs/>
      <w:sz w:val="22"/>
      <w:szCs w:val="22"/>
    </w:rPr>
  </w:style>
  <w:style w:type="character" w:customStyle="1" w:styleId="WW8Num150z1">
    <w:name w:val="WW8Num150z1"/>
    <w:rPr>
      <w:rFonts w:ascii="Arial" w:hAnsi="Arial" w:cs="Arial"/>
      <w:sz w:val="22"/>
      <w:szCs w:val="22"/>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Arial" w:hAnsi="Arial" w:cs="Arial"/>
      <w:i w:val="0"/>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Arial" w:hAnsi="Arial" w:cs="Arial"/>
      <w:sz w:val="22"/>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Arial" w:hAnsi="Arial" w:cs="Arial"/>
      <w:sz w:val="22"/>
      <w:szCs w:val="22"/>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Arial" w:hAnsi="Arial" w:cs="Arial"/>
      <w:bCs/>
      <w:sz w:val="22"/>
      <w:szCs w:val="22"/>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Arial" w:hAnsi="Arial" w:cs="Arial"/>
      <w:sz w:val="22"/>
      <w:szCs w:val="22"/>
    </w:rPr>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val="0"/>
    </w:rPr>
  </w:style>
  <w:style w:type="character" w:customStyle="1" w:styleId="WW8Num156z1">
    <w:name w:val="WW8Num156z1"/>
  </w:style>
  <w:style w:type="character" w:customStyle="1" w:styleId="WW8Num156z3">
    <w:name w:val="WW8Num156z3"/>
    <w:rPr>
      <w:rFonts w:ascii="Wingdings" w:hAnsi="Wingdings" w:cs="Wingdings"/>
    </w:rPr>
  </w:style>
  <w:style w:type="character" w:customStyle="1" w:styleId="WW8Num157z0">
    <w:name w:val="WW8Num157z0"/>
    <w:rPr>
      <w:rFonts w:ascii="Arial" w:hAnsi="Arial" w:cs="Arial"/>
      <w:sz w:val="22"/>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Arial" w:eastAsia="TTE278EC88t00" w:hAnsi="Arial" w:cs="Arial"/>
      <w:color w:val="auto"/>
      <w:sz w:val="22"/>
      <w:szCs w:val="22"/>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Arial" w:hAnsi="Arial" w:cs="Arial"/>
      <w:sz w:val="22"/>
      <w:szCs w:val="22"/>
    </w:rPr>
  </w:style>
  <w:style w:type="character" w:customStyle="1" w:styleId="WW8Num159z1">
    <w:name w:val="WW8Num159z1"/>
    <w:rPr>
      <w:rFonts w:ascii="Arial" w:hAnsi="Arial" w:cs="Arial"/>
      <w:sz w:val="22"/>
      <w:szCs w:val="22"/>
    </w:rPr>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ascii="Arial" w:hAnsi="Arial" w:cs="Arial"/>
      <w:sz w:val="22"/>
      <w:szCs w:val="22"/>
    </w:rPr>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Arial" w:eastAsia="Calibri" w:hAnsi="Arial" w:cs="Arial"/>
      <w:sz w:val="22"/>
      <w:szCs w:val="22"/>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Arial" w:hAnsi="Arial" w:cs="Arial"/>
      <w:sz w:val="22"/>
      <w:szCs w:val="22"/>
    </w:rPr>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ascii="Arial" w:hAnsi="Arial" w:cs="Arial"/>
      <w:sz w:val="22"/>
    </w:rPr>
  </w:style>
  <w:style w:type="character" w:customStyle="1" w:styleId="WW8Num165z1">
    <w:name w:val="WW8Num165z1"/>
    <w:rPr>
      <w:rFonts w:ascii="Arial" w:eastAsia="Times New Roman" w:hAnsi="Arial" w:cs="Times New Roman"/>
    </w:rPr>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Arial" w:hAnsi="Arial" w:cs="Arial"/>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Arial" w:hAnsi="Arial" w:cs="Arial"/>
      <w:b w:val="0"/>
      <w:sz w:val="22"/>
      <w:szCs w:val="22"/>
    </w:rPr>
  </w:style>
  <w:style w:type="character" w:customStyle="1" w:styleId="WW8Num168z1">
    <w:name w:val="WW8Num168z1"/>
    <w:rPr>
      <w:rFonts w:ascii="Arial" w:hAnsi="Arial" w:cs="Arial"/>
      <w:sz w:val="22"/>
      <w:szCs w:val="22"/>
    </w:rPr>
  </w:style>
  <w:style w:type="character" w:customStyle="1" w:styleId="WW8Num168z2">
    <w:name w:val="WW8Num168z2"/>
    <w:rPr>
      <w:rFonts w:ascii="Arial" w:hAnsi="Arial" w:cs="Arial"/>
      <w:sz w:val="22"/>
      <w:szCs w:val="22"/>
    </w:rPr>
  </w:style>
  <w:style w:type="character" w:customStyle="1" w:styleId="WW8Num168z3">
    <w:name w:val="WW8Num168z3"/>
    <w:rPr>
      <w:rFonts w:ascii="Wingdings" w:hAnsi="Wingdings" w:cs="Wingdings"/>
    </w:rPr>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Arial" w:eastAsia="Times New Roman" w:hAnsi="Arial" w:cs="Arial"/>
    </w:rPr>
  </w:style>
  <w:style w:type="character" w:customStyle="1" w:styleId="WW8Num169z1">
    <w:name w:val="WW8Num169z1"/>
    <w:rPr>
      <w:rFonts w:ascii="Arial" w:hAnsi="Arial" w:cs="Arial"/>
      <w:sz w:val="22"/>
      <w:szCs w:val="22"/>
    </w:rPr>
  </w:style>
  <w:style w:type="character" w:customStyle="1" w:styleId="WW8Num169z2">
    <w:name w:val="WW8Num169z2"/>
  </w:style>
  <w:style w:type="character" w:customStyle="1" w:styleId="WW8Num169z3">
    <w:name w:val="WW8Num169z3"/>
  </w:style>
  <w:style w:type="character" w:customStyle="1" w:styleId="WW8Num169z4">
    <w:name w:val="WW8Num169z4"/>
    <w:rPr>
      <w:rFonts w:ascii="Courier New" w:hAnsi="Courier New" w:cs="Courier New"/>
    </w:rPr>
  </w:style>
  <w:style w:type="character" w:customStyle="1" w:styleId="WW8Num169z5">
    <w:name w:val="WW8Num169z5"/>
    <w:rPr>
      <w:rFonts w:ascii="Wingdings" w:hAnsi="Wingdings" w:cs="Wingdings"/>
    </w:rPr>
  </w:style>
  <w:style w:type="character" w:customStyle="1" w:styleId="WW8Num169z6">
    <w:name w:val="WW8Num169z6"/>
    <w:rPr>
      <w:rFonts w:ascii="Symbol" w:hAnsi="Symbol" w:cs="Symbol"/>
    </w:rPr>
  </w:style>
  <w:style w:type="character" w:customStyle="1" w:styleId="WW8Num170z0">
    <w:name w:val="WW8Num170z0"/>
    <w:rPr>
      <w:rFonts w:ascii="Wingdings" w:eastAsia="Times New Roman" w:hAnsi="Wingdings" w:cs="Times New Roman"/>
      <w:sz w:val="22"/>
      <w:szCs w:val="22"/>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style>
  <w:style w:type="character" w:customStyle="1" w:styleId="WW8Num171z1">
    <w:name w:val="WW8Num171z1"/>
  </w:style>
  <w:style w:type="character" w:customStyle="1" w:styleId="WW8Num171z2">
    <w:name w:val="WW8Num171z2"/>
    <w:rPr>
      <w:rFonts w:ascii="Arial" w:eastAsia="TTE278EC88t00" w:hAnsi="Arial" w:cs="Arial"/>
      <w:sz w:val="22"/>
    </w:rPr>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ascii="Arial" w:hAnsi="Arial" w:cs="Arial"/>
      <w:sz w:val="22"/>
      <w:szCs w:val="22"/>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Arial" w:eastAsia="MS Mincho" w:hAnsi="Arial" w:cs="Arial"/>
      <w:sz w:val="22"/>
      <w:szCs w:val="22"/>
      <w:lang w:eastAsia="ja-JP"/>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Domylnaczcionkaakapitu1">
    <w:name w:val="Domyślna czcionka akapitu1"/>
  </w:style>
  <w:style w:type="character" w:customStyle="1" w:styleId="Znakiprzypiswdolnych">
    <w:name w:val="Znaki przypisów dolnych"/>
    <w:rPr>
      <w:position w:val="0"/>
      <w:vertAlign w:val="superscript"/>
    </w:rPr>
  </w:style>
  <w:style w:type="character" w:customStyle="1" w:styleId="Nagwek6Znak">
    <w:name w:val="Nagłówek 6 Znak"/>
    <w:rPr>
      <w:b/>
      <w:sz w:val="22"/>
      <w:szCs w:val="24"/>
      <w:lang w:val="pl-PL" w:bidi="ar-SA"/>
    </w:rPr>
  </w:style>
  <w:style w:type="character" w:customStyle="1" w:styleId="AkapitZnak">
    <w:name w:val="Akapit Znak"/>
    <w:basedOn w:val="Nagwek6Znak"/>
    <w:rPr>
      <w:b/>
      <w:sz w:val="22"/>
      <w:szCs w:val="24"/>
      <w:lang w:val="pl-PL" w:bidi="ar-SA"/>
    </w:rPr>
  </w:style>
  <w:style w:type="character" w:styleId="Hipercze">
    <w:name w:val="Hyperlink"/>
    <w:uiPriority w:val="99"/>
    <w:rPr>
      <w:color w:val="0000FF"/>
      <w:u w:val="single"/>
    </w:rPr>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Nagwek6Znak1">
    <w:name w:val="Nagłówek 6 Znak1"/>
    <w:rPr>
      <w:b/>
      <w:sz w:val="22"/>
      <w:szCs w:val="24"/>
      <w:lang w:val="pl-PL" w:bidi="ar-SA"/>
    </w:rPr>
  </w:style>
  <w:style w:type="character" w:customStyle="1" w:styleId="AkapitZnak1">
    <w:name w:val="Akapit Znak1"/>
    <w:rPr>
      <w:b/>
      <w:sz w:val="24"/>
      <w:szCs w:val="24"/>
      <w:lang w:val="pl-PL" w:bidi="ar-SA"/>
    </w:rPr>
  </w:style>
  <w:style w:type="character" w:customStyle="1" w:styleId="StylAkapit12ptZnak">
    <w:name w:val="Styl Akapit + 12 pt Znak"/>
    <w:basedOn w:val="AkapitZnak1"/>
    <w:rPr>
      <w:b/>
      <w:sz w:val="24"/>
      <w:szCs w:val="24"/>
      <w:lang w:val="pl-PL" w:bidi="ar-SA"/>
    </w:rPr>
  </w:style>
  <w:style w:type="character" w:customStyle="1" w:styleId="PKTpunktZnak">
    <w:name w:val="PKT – punkt Znak"/>
    <w:rPr>
      <w:rFonts w:ascii="Times" w:hAnsi="Times" w:cs="Arial"/>
      <w:bCs/>
      <w:sz w:val="24"/>
      <w:lang w:val="pl-PL" w:bidi="ar-SA"/>
    </w:rPr>
  </w:style>
  <w:style w:type="character" w:customStyle="1" w:styleId="LITliteraZnak">
    <w:name w:val="LIT – litera Znak"/>
    <w:rPr>
      <w:rFonts w:ascii="Times" w:hAnsi="Times" w:cs="Arial"/>
      <w:bCs/>
      <w:sz w:val="24"/>
      <w:lang w:val="pl-PL" w:bidi="ar-SA"/>
    </w:rPr>
  </w:style>
  <w:style w:type="character" w:styleId="Pogrubienie">
    <w:name w:val="Strong"/>
    <w:rPr>
      <w:b/>
      <w:bCs/>
    </w:rPr>
  </w:style>
  <w:style w:type="character" w:customStyle="1" w:styleId="Nagwek20">
    <w:name w:val="Nagłówek #2_"/>
    <w:rPr>
      <w:rFonts w:ascii="Arial" w:eastAsia="Arial" w:hAnsi="Arial" w:cs="Arial"/>
      <w:b/>
      <w:bCs/>
      <w:i/>
      <w:iCs/>
      <w:sz w:val="22"/>
      <w:szCs w:val="22"/>
      <w:shd w:val="clear" w:color="auto" w:fill="FFFFFF"/>
      <w:lang w:bidi="ar-SA"/>
    </w:rPr>
  </w:style>
  <w:style w:type="character" w:customStyle="1" w:styleId="Nagweklubstopka">
    <w:name w:val="Nagłówek lub stopka"/>
    <w:rPr>
      <w:rFonts w:ascii="AngsanaUPC" w:eastAsia="AngsanaUPC" w:hAnsi="AngsanaUPC" w:cs="AngsanaUPC"/>
      <w:b w:val="0"/>
      <w:bCs w:val="0"/>
      <w:i w:val="0"/>
      <w:iCs w:val="0"/>
      <w:caps w:val="0"/>
      <w:smallCaps w:val="0"/>
      <w:strike w:val="0"/>
      <w:dstrike w:val="0"/>
      <w:color w:val="000000"/>
      <w:spacing w:val="0"/>
      <w:w w:val="100"/>
      <w:position w:val="0"/>
      <w:sz w:val="31"/>
      <w:szCs w:val="31"/>
      <w:u w:val="none"/>
      <w:vertAlign w:val="baseline"/>
    </w:rPr>
  </w:style>
  <w:style w:type="character" w:customStyle="1" w:styleId="NagweklubstopkaArial115ptKursywa">
    <w:name w:val="Nagłówek lub stopka + Arial;11;5 pt;Kursywa"/>
    <w:rPr>
      <w:rFonts w:ascii="Arial" w:eastAsia="Arial" w:hAnsi="Arial" w:cs="Arial"/>
      <w:b w:val="0"/>
      <w:bCs w:val="0"/>
      <w:i/>
      <w:iCs/>
      <w:caps w:val="0"/>
      <w:smallCaps w:val="0"/>
      <w:strike w:val="0"/>
      <w:dstrike w:val="0"/>
      <w:color w:val="000000"/>
      <w:spacing w:val="0"/>
      <w:w w:val="100"/>
      <w:position w:val="0"/>
      <w:sz w:val="23"/>
      <w:szCs w:val="23"/>
      <w:u w:val="none"/>
      <w:vertAlign w:val="baseline"/>
      <w:lang w:val="pl-PL"/>
    </w:rPr>
  </w:style>
  <w:style w:type="character" w:customStyle="1" w:styleId="TekstprzypisudolnegoZnak">
    <w:name w:val="Tekst przypisu dolnego Znak"/>
    <w:uiPriority w:val="99"/>
    <w:rPr>
      <w:rFonts w:eastAsia="Times New Roman"/>
    </w:rPr>
  </w:style>
  <w:style w:type="character" w:customStyle="1" w:styleId="hps">
    <w:name w:val="hps"/>
  </w:style>
  <w:style w:type="character" w:customStyle="1" w:styleId="Text1Char">
    <w:name w:val="Text 1 Char"/>
    <w:rPr>
      <w:rFonts w:eastAsia="Times New Roman"/>
      <w:sz w:val="24"/>
      <w:szCs w:val="24"/>
    </w:rPr>
  </w:style>
  <w:style w:type="character" w:customStyle="1" w:styleId="st">
    <w:name w:val="st"/>
    <w:basedOn w:val="Domylnaczcionkaakapitu1"/>
  </w:style>
  <w:style w:type="character" w:customStyle="1" w:styleId="Nagwek5Znak">
    <w:name w:val="Nagłówek 5 Znak"/>
    <w:rPr>
      <w:rFonts w:eastAsia="MS Mincho"/>
      <w:sz w:val="24"/>
      <w:lang w:val="pl-PL" w:bidi="ar-SA"/>
    </w:rPr>
  </w:style>
  <w:style w:type="character" w:customStyle="1" w:styleId="Nagwek3Znak">
    <w:name w:val="Nagłówek 3 Znak"/>
    <w:rPr>
      <w:rFonts w:eastAsia="MS Mincho"/>
      <w:i/>
      <w:sz w:val="24"/>
      <w:lang w:val="pl-PL" w:bidi="ar-SA"/>
    </w:rPr>
  </w:style>
  <w:style w:type="character" w:customStyle="1" w:styleId="Nagwek1Znak">
    <w:name w:val="Nagłówek 1 Znak"/>
    <w:rPr>
      <w:rFonts w:eastAsia="MS Mincho"/>
      <w:b/>
      <w:caps/>
      <w:sz w:val="24"/>
      <w:lang w:val="pl-PL" w:bidi="ar-SA"/>
    </w:rPr>
  </w:style>
  <w:style w:type="character" w:customStyle="1" w:styleId="TekstkomentarzaZnak">
    <w:name w:val="Tekst komentarza Znak"/>
    <w:uiPriority w:val="99"/>
    <w:rPr>
      <w:rFonts w:eastAsia="Times New Roman"/>
    </w:rPr>
  </w:style>
  <w:style w:type="character" w:styleId="Wyrnienieintensywne">
    <w:name w:val="Intense Emphasis"/>
    <w:rPr>
      <w:b/>
      <w:bCs/>
      <w:i/>
      <w:iCs/>
      <w:color w:val="4F81BD"/>
    </w:rPr>
  </w:style>
  <w:style w:type="character" w:customStyle="1" w:styleId="h1">
    <w:name w:val="h1"/>
    <w:basedOn w:val="Domylnaczcionkaakapitu1"/>
  </w:style>
  <w:style w:type="character" w:customStyle="1" w:styleId="Znakiprzypiswkocowych">
    <w:name w:val="Znaki przypisów końcowych"/>
    <w:rPr>
      <w:position w:val="0"/>
      <w:vertAlign w:val="superscript"/>
    </w:rPr>
  </w:style>
  <w:style w:type="character" w:customStyle="1" w:styleId="highlight">
    <w:name w:val="highlight"/>
  </w:style>
  <w:style w:type="character" w:customStyle="1" w:styleId="h11">
    <w:name w:val="h11"/>
    <w:rPr>
      <w:rFonts w:ascii="Verdana" w:hAnsi="Verdana" w:cs="Verdana"/>
      <w:b/>
      <w:bCs/>
      <w:i w:val="0"/>
      <w:iCs w:val="0"/>
      <w:sz w:val="23"/>
      <w:szCs w:val="23"/>
    </w:rPr>
  </w:style>
  <w:style w:type="character" w:customStyle="1" w:styleId="trix-quote">
    <w:name w:val="trix-quote"/>
  </w:style>
  <w:style w:type="character" w:customStyle="1" w:styleId="Odwoanieprzypisudolnego1">
    <w:name w:val="Odwołanie przypisu dolnego1"/>
    <w:rPr>
      <w:position w:val="0"/>
      <w:vertAlign w:val="superscript"/>
    </w:rPr>
  </w:style>
  <w:style w:type="character" w:customStyle="1" w:styleId="Odwoanieprzypisukocowego1">
    <w:name w:val="Odwołanie przypisu końcowego1"/>
    <w:rPr>
      <w:position w:val="0"/>
      <w:vertAlign w:val="superscript"/>
    </w:rPr>
  </w:style>
  <w:style w:type="character" w:customStyle="1" w:styleId="czeindeksu">
    <w:name w:val="Łącze indeksu"/>
  </w:style>
  <w:style w:type="character" w:customStyle="1" w:styleId="FontStyle57">
    <w:name w:val="Font Style57"/>
    <w:rPr>
      <w:rFonts w:ascii="Arial Unicode MS" w:eastAsia="Arial Unicode MS" w:hAnsi="Arial Unicode MS" w:cs="Arial Unicode MS"/>
      <w:color w:val="000000"/>
      <w:sz w:val="12"/>
      <w:szCs w:val="12"/>
    </w:rPr>
  </w:style>
  <w:style w:type="character" w:customStyle="1" w:styleId="StopkaZnak">
    <w:name w:val="Stopka Znak"/>
    <w:uiPriority w:val="99"/>
    <w:rPr>
      <w:szCs w:val="24"/>
      <w:lang w:eastAsia="zh-CN"/>
    </w:rPr>
  </w:style>
  <w:style w:type="character" w:styleId="Odwoanieprzypisudolnego">
    <w:name w:val="footnote reference"/>
    <w:uiPriority w:val="99"/>
    <w:rPr>
      <w:position w:val="0"/>
      <w:vertAlign w:val="superscript"/>
    </w:rPr>
  </w:style>
  <w:style w:type="character" w:styleId="Odwoanieprzypisukocowego">
    <w:name w:val="endnote reference"/>
    <w:rPr>
      <w:position w:val="0"/>
      <w:vertAlign w:val="superscript"/>
    </w:rPr>
  </w:style>
  <w:style w:type="paragraph" w:customStyle="1" w:styleId="Nagwek21">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spacing w:before="240" w:after="60"/>
      <w:jc w:val="center"/>
    </w:pPr>
    <w:rPr>
      <w:rFonts w:ascii="Arial" w:hAnsi="Arial" w:cs="Arial"/>
      <w:b/>
      <w:bCs/>
      <w:kern w:val="3"/>
      <w:sz w:val="32"/>
      <w:szCs w:val="32"/>
    </w:rPr>
  </w:style>
  <w:style w:type="paragraph" w:customStyle="1" w:styleId="Legenda1">
    <w:name w:val="Legenda1"/>
    <w:basedOn w:val="Normalny"/>
    <w:pPr>
      <w:suppressLineNumbers/>
      <w:spacing w:before="120" w:after="120"/>
    </w:pPr>
    <w:rPr>
      <w:rFonts w:cs="Arial"/>
      <w:i/>
      <w:iCs/>
    </w:rPr>
  </w:style>
  <w:style w:type="paragraph" w:styleId="Stopka">
    <w:name w:val="footer"/>
    <w:basedOn w:val="Normalny"/>
    <w:uiPriority w:val="99"/>
    <w:pPr>
      <w:tabs>
        <w:tab w:val="center" w:pos="4536"/>
        <w:tab w:val="right" w:pos="9072"/>
      </w:tabs>
    </w:pPr>
    <w:rPr>
      <w:sz w:val="20"/>
    </w:rPr>
  </w:style>
  <w:style w:type="paragraph" w:styleId="Tekstprzypisudolnego">
    <w:name w:val="footnote text"/>
    <w:basedOn w:val="Normalny"/>
    <w:uiPriority w:val="99"/>
    <w:pPr>
      <w:spacing w:before="120"/>
    </w:pPr>
    <w:rPr>
      <w:sz w:val="20"/>
      <w:szCs w:val="20"/>
    </w:rPr>
  </w:style>
  <w:style w:type="paragraph" w:styleId="Tekstdymka">
    <w:name w:val="Balloon Text"/>
    <w:basedOn w:val="Normalny"/>
    <w:rPr>
      <w:rFonts w:ascii="Tahoma" w:hAnsi="Tahoma" w:cs="TTE278EC88t00"/>
      <w:sz w:val="16"/>
      <w:szCs w:val="16"/>
    </w:rPr>
  </w:style>
  <w:style w:type="paragraph" w:customStyle="1" w:styleId="Akapit">
    <w:name w:val="Akapit"/>
    <w:basedOn w:val="Nagwek6"/>
    <w:pPr>
      <w:numPr>
        <w:ilvl w:val="0"/>
        <w:numId w:val="0"/>
      </w:numPr>
      <w:jc w:val="both"/>
    </w:pPr>
    <w:rPr>
      <w:b w:val="0"/>
      <w:sz w:val="24"/>
    </w:rPr>
  </w:style>
  <w:style w:type="paragraph" w:customStyle="1" w:styleId="Tytuowa1">
    <w:name w:val="Tytułowa 1"/>
    <w:basedOn w:val="Nagwek10"/>
  </w:style>
  <w:style w:type="paragraph" w:styleId="Spistreci1">
    <w:name w:val="toc 1"/>
    <w:basedOn w:val="Normalny"/>
    <w:next w:val="Normalny"/>
    <w:uiPriority w:val="39"/>
    <w:pPr>
      <w:tabs>
        <w:tab w:val="left" w:pos="480"/>
        <w:tab w:val="right" w:leader="dot" w:pos="9062"/>
      </w:tabs>
    </w:pPr>
    <w:rPr>
      <w:rFonts w:ascii="Arial" w:hAnsi="Arial" w:cs="Arial"/>
      <w:b/>
      <w:sz w:val="22"/>
      <w:lang w:eastAsia="zh-TW"/>
    </w:rPr>
  </w:style>
  <w:style w:type="paragraph" w:styleId="Spistreci2">
    <w:name w:val="toc 2"/>
    <w:basedOn w:val="Normalny"/>
    <w:next w:val="Normalny"/>
    <w:uiPriority w:val="39"/>
    <w:pPr>
      <w:tabs>
        <w:tab w:val="left" w:pos="960"/>
        <w:tab w:val="right" w:leader="dot" w:pos="9062"/>
      </w:tabs>
      <w:ind w:left="1080" w:hanging="900"/>
      <w:jc w:val="left"/>
    </w:pPr>
  </w:style>
  <w:style w:type="paragraph" w:styleId="Spistreci3">
    <w:name w:val="toc 3"/>
    <w:basedOn w:val="Normalny"/>
    <w:next w:val="Normalny"/>
    <w:uiPriority w:val="39"/>
    <w:pPr>
      <w:tabs>
        <w:tab w:val="left" w:pos="1440"/>
        <w:tab w:val="right" w:leader="dot" w:pos="9062"/>
      </w:tabs>
      <w:ind w:left="1440" w:hanging="900"/>
      <w:jc w:val="left"/>
    </w:pPr>
  </w:style>
  <w:style w:type="paragraph" w:customStyle="1" w:styleId="Tekstkomentarza1">
    <w:name w:val="Tekst komentarza1"/>
    <w:basedOn w:val="Normalny"/>
    <w:rPr>
      <w:sz w:val="20"/>
      <w:szCs w:val="20"/>
    </w:rPr>
  </w:style>
  <w:style w:type="paragraph" w:styleId="Tekstpodstawowywcity">
    <w:name w:val="Body Text Indent"/>
    <w:basedOn w:val="Normalny"/>
    <w:pPr>
      <w:spacing w:line="240" w:lineRule="auto"/>
      <w:ind w:left="708"/>
    </w:pPr>
  </w:style>
  <w:style w:type="paragraph" w:customStyle="1" w:styleId="Tekstpodstawowy21">
    <w:name w:val="Tekst podstawowy 21"/>
    <w:basedOn w:val="Normalny"/>
    <w:pPr>
      <w:spacing w:after="120" w:line="240" w:lineRule="auto"/>
    </w:pPr>
    <w:rPr>
      <w:szCs w:val="20"/>
    </w:rPr>
  </w:style>
  <w:style w:type="paragraph" w:styleId="Tematkomentarza">
    <w:name w:val="annotation subject"/>
    <w:basedOn w:val="Tekstkomentarza1"/>
    <w:next w:val="Tekstkomentarza1"/>
    <w:rPr>
      <w:b/>
      <w:bCs/>
    </w:rPr>
  </w:style>
  <w:style w:type="paragraph" w:customStyle="1" w:styleId="StylAkapit12pt">
    <w:name w:val="Styl Akapit + 12 pt"/>
    <w:basedOn w:val="Akapit"/>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Tekstdymka1">
    <w:name w:val="Tekst dymka1"/>
    <w:basedOn w:val="Normalny"/>
    <w:rPr>
      <w:rFonts w:ascii="Tahoma" w:hAnsi="Tahoma" w:cs="Courier New"/>
      <w:sz w:val="16"/>
      <w:szCs w:val="16"/>
    </w:rPr>
  </w:style>
  <w:style w:type="paragraph" w:styleId="Nagwek">
    <w:name w:val="header"/>
    <w:basedOn w:val="Normalny"/>
    <w:pPr>
      <w:tabs>
        <w:tab w:val="center" w:pos="4536"/>
        <w:tab w:val="right" w:pos="9072"/>
      </w:tabs>
    </w:pPr>
  </w:style>
  <w:style w:type="paragraph" w:customStyle="1" w:styleId="CM1">
    <w:name w:val="CM1"/>
    <w:basedOn w:val="Normalny"/>
    <w:next w:val="Normalny"/>
    <w:pPr>
      <w:autoSpaceDE w:val="0"/>
      <w:spacing w:before="200" w:after="200" w:line="240" w:lineRule="auto"/>
      <w:jc w:val="left"/>
    </w:pPr>
    <w:rPr>
      <w:rFonts w:ascii="EUAlbertina" w:hAnsi="EUAlbertina" w:cs="EUAlbertina"/>
    </w:rPr>
  </w:style>
  <w:style w:type="paragraph" w:customStyle="1" w:styleId="CM4">
    <w:name w:val="CM4"/>
    <w:basedOn w:val="Normalny"/>
    <w:next w:val="Normalny"/>
    <w:pPr>
      <w:autoSpaceDE w:val="0"/>
      <w:spacing w:before="60" w:after="60" w:line="240" w:lineRule="auto"/>
      <w:jc w:val="left"/>
    </w:pPr>
    <w:rPr>
      <w:rFonts w:ascii="EUAlbertina" w:hAnsi="EUAlbertina" w:cs="EUAlbertina"/>
    </w:rPr>
  </w:style>
  <w:style w:type="paragraph" w:customStyle="1" w:styleId="StylWyjustowanyPrzed0ptInterliniaConajmniej15pt">
    <w:name w:val="Styl Wyjustowany Przed:  0 pt Interlinia:  Co najmniej 15 pt"/>
    <w:basedOn w:val="Normalny"/>
    <w:pPr>
      <w:spacing w:line="300" w:lineRule="atLeast"/>
    </w:pPr>
    <w:rPr>
      <w:sz w:val="20"/>
      <w:szCs w:val="20"/>
    </w:rPr>
  </w:style>
  <w:style w:type="paragraph" w:styleId="NormalnyWeb">
    <w:name w:val="Normal (Web)"/>
    <w:basedOn w:val="Normalny"/>
    <w:pPr>
      <w:spacing w:before="280" w:after="280" w:line="240" w:lineRule="auto"/>
      <w:jc w:val="left"/>
    </w:pPr>
  </w:style>
  <w:style w:type="paragraph" w:customStyle="1" w:styleId="Wcicie">
    <w:name w:val="Wcięcie"/>
    <w:basedOn w:val="Normalny"/>
    <w:pPr>
      <w:numPr>
        <w:numId w:val="16"/>
      </w:numPr>
    </w:pPr>
    <w:rPr>
      <w:rFonts w:ascii="Arial" w:hAnsi="Arial" w:cs="Arial"/>
      <w:sz w:val="22"/>
      <w:szCs w:val="22"/>
    </w:rPr>
  </w:style>
  <w:style w:type="paragraph" w:customStyle="1" w:styleId="ZnakZnak">
    <w:name w:val="Znak Znak"/>
    <w:basedOn w:val="Normalny"/>
    <w:rPr>
      <w:rFonts w:ascii="Verdana" w:hAnsi="Verdana" w:cs="Verdana"/>
      <w:sz w:val="20"/>
      <w:szCs w:val="20"/>
    </w:rPr>
  </w:style>
  <w:style w:type="paragraph" w:customStyle="1" w:styleId="Text1">
    <w:name w:val="Text 1"/>
    <w:basedOn w:val="Normalny"/>
    <w:pPr>
      <w:spacing w:before="120" w:after="120" w:line="240" w:lineRule="auto"/>
      <w:ind w:left="850"/>
    </w:pPr>
  </w:style>
  <w:style w:type="paragraph" w:customStyle="1" w:styleId="ManualNumPar1">
    <w:name w:val="Manual NumPar 1"/>
    <w:basedOn w:val="Normalny"/>
    <w:next w:val="Text1"/>
    <w:pPr>
      <w:spacing w:before="120" w:after="120" w:line="240" w:lineRule="auto"/>
      <w:ind w:left="850" w:hanging="850"/>
    </w:pPr>
  </w:style>
  <w:style w:type="paragraph" w:customStyle="1" w:styleId="Point0number">
    <w:name w:val="Point 0 (number)"/>
    <w:basedOn w:val="Normalny"/>
    <w:pPr>
      <w:numPr>
        <w:numId w:val="14"/>
      </w:numPr>
      <w:spacing w:before="120" w:after="120" w:line="240" w:lineRule="auto"/>
    </w:pPr>
  </w:style>
  <w:style w:type="paragraph" w:customStyle="1" w:styleId="Point1number">
    <w:name w:val="Point 1 (number)"/>
    <w:basedOn w:val="Normalny"/>
    <w:pPr>
      <w:tabs>
        <w:tab w:val="left" w:pos="850"/>
      </w:tabs>
      <w:spacing w:before="120" w:after="120" w:line="240" w:lineRule="auto"/>
      <w:ind w:left="850" w:hanging="850"/>
    </w:pPr>
  </w:style>
  <w:style w:type="paragraph" w:customStyle="1" w:styleId="Point2number">
    <w:name w:val="Point 2 (number)"/>
    <w:basedOn w:val="Normalny"/>
    <w:pPr>
      <w:tabs>
        <w:tab w:val="left" w:pos="850"/>
      </w:tabs>
      <w:spacing w:before="120" w:after="120" w:line="240" w:lineRule="auto"/>
      <w:ind w:left="850" w:hanging="850"/>
    </w:pPr>
  </w:style>
  <w:style w:type="paragraph" w:customStyle="1" w:styleId="Point3number">
    <w:name w:val="Point 3 (number)"/>
    <w:basedOn w:val="Normalny"/>
    <w:pPr>
      <w:tabs>
        <w:tab w:val="left" w:pos="850"/>
      </w:tabs>
      <w:spacing w:before="120" w:after="120" w:line="240" w:lineRule="auto"/>
      <w:ind w:left="850" w:hanging="850"/>
    </w:pPr>
  </w:style>
  <w:style w:type="paragraph" w:customStyle="1" w:styleId="Point0letter">
    <w:name w:val="Point 0 (letter)"/>
    <w:basedOn w:val="Normalny"/>
    <w:pPr>
      <w:tabs>
        <w:tab w:val="left" w:pos="850"/>
      </w:tabs>
      <w:spacing w:before="120" w:after="120" w:line="240" w:lineRule="auto"/>
      <w:ind w:left="850" w:hanging="850"/>
    </w:pPr>
  </w:style>
  <w:style w:type="paragraph" w:customStyle="1" w:styleId="Point1letter">
    <w:name w:val="Point 1 (letter)"/>
    <w:basedOn w:val="Normalny"/>
    <w:pPr>
      <w:spacing w:before="120" w:after="120" w:line="240" w:lineRule="auto"/>
    </w:pPr>
  </w:style>
  <w:style w:type="paragraph" w:customStyle="1" w:styleId="Point2letter">
    <w:name w:val="Point 2 (letter)"/>
    <w:basedOn w:val="Normalny"/>
    <w:pPr>
      <w:tabs>
        <w:tab w:val="left" w:pos="850"/>
      </w:tabs>
      <w:spacing w:before="120" w:after="120" w:line="240" w:lineRule="auto"/>
      <w:ind w:left="850" w:hanging="850"/>
    </w:pPr>
  </w:style>
  <w:style w:type="paragraph" w:customStyle="1" w:styleId="Point3letter">
    <w:name w:val="Point 3 (letter)"/>
    <w:basedOn w:val="Normalny"/>
    <w:pPr>
      <w:tabs>
        <w:tab w:val="left" w:pos="850"/>
      </w:tabs>
      <w:spacing w:before="120" w:after="120" w:line="240" w:lineRule="auto"/>
      <w:ind w:left="850" w:hanging="850"/>
    </w:pPr>
  </w:style>
  <w:style w:type="paragraph" w:customStyle="1" w:styleId="Point4letter">
    <w:name w:val="Point 4 (letter)"/>
    <w:basedOn w:val="Normalny"/>
    <w:pPr>
      <w:tabs>
        <w:tab w:val="left" w:pos="850"/>
      </w:tabs>
      <w:spacing w:before="120" w:after="120" w:line="240" w:lineRule="auto"/>
      <w:ind w:left="850" w:hanging="850"/>
    </w:pPr>
  </w:style>
  <w:style w:type="paragraph" w:customStyle="1" w:styleId="PKTpunkt">
    <w:name w:val="PKT – punkt"/>
    <w:pPr>
      <w:suppressAutoHyphens/>
      <w:spacing w:line="360" w:lineRule="auto"/>
      <w:ind w:left="510" w:hanging="510"/>
      <w:jc w:val="both"/>
    </w:pPr>
    <w:rPr>
      <w:rFonts w:ascii="Times" w:eastAsia="MS Mincho" w:hAnsi="Times" w:cs="Arial"/>
      <w:bCs/>
      <w:sz w:val="24"/>
      <w:lang w:eastAsia="zh-CN"/>
    </w:rPr>
  </w:style>
  <w:style w:type="paragraph" w:customStyle="1" w:styleId="LITlitera">
    <w:name w:val="LIT – litera"/>
    <w:basedOn w:val="PKTpunkt"/>
    <w:pPr>
      <w:ind w:left="986" w:hanging="476"/>
    </w:pPr>
  </w:style>
  <w:style w:type="paragraph" w:customStyle="1" w:styleId="Tekstpodstawowy31">
    <w:name w:val="Tekst podstawowy 31"/>
    <w:basedOn w:val="Normalny"/>
    <w:pPr>
      <w:spacing w:after="120"/>
    </w:pPr>
    <w:rPr>
      <w:sz w:val="16"/>
      <w:szCs w:val="16"/>
    </w:rPr>
  </w:style>
  <w:style w:type="paragraph" w:customStyle="1" w:styleId="Point1">
    <w:name w:val="Point 1"/>
    <w:basedOn w:val="Normalny"/>
    <w:pPr>
      <w:spacing w:before="120" w:after="120" w:line="240" w:lineRule="auto"/>
      <w:ind w:left="1417" w:hanging="567"/>
    </w:pPr>
  </w:style>
  <w:style w:type="paragraph" w:customStyle="1" w:styleId="NumPar1">
    <w:name w:val="NumPar 1"/>
    <w:basedOn w:val="Normalny"/>
    <w:next w:val="Text1"/>
    <w:pPr>
      <w:numPr>
        <w:numId w:val="15"/>
      </w:numPr>
      <w:spacing w:before="120" w:after="120" w:line="240" w:lineRule="auto"/>
    </w:pPr>
  </w:style>
  <w:style w:type="paragraph" w:customStyle="1" w:styleId="NumPar2">
    <w:name w:val="NumPar 2"/>
    <w:basedOn w:val="Normalny"/>
    <w:next w:val="Text1"/>
    <w:pPr>
      <w:tabs>
        <w:tab w:val="left" w:pos="850"/>
      </w:tabs>
      <w:spacing w:before="120" w:after="120" w:line="240" w:lineRule="auto"/>
      <w:ind w:left="850" w:hanging="850"/>
    </w:pPr>
  </w:style>
  <w:style w:type="paragraph" w:customStyle="1" w:styleId="NumPar3">
    <w:name w:val="NumPar 3"/>
    <w:basedOn w:val="Normalny"/>
    <w:next w:val="Text1"/>
    <w:pPr>
      <w:tabs>
        <w:tab w:val="left" w:pos="850"/>
      </w:tabs>
      <w:spacing w:before="120" w:after="120" w:line="240" w:lineRule="auto"/>
      <w:ind w:left="850" w:hanging="850"/>
    </w:pPr>
  </w:style>
  <w:style w:type="paragraph" w:customStyle="1" w:styleId="NumPar4">
    <w:name w:val="NumPar 4"/>
    <w:basedOn w:val="Normalny"/>
    <w:next w:val="Text1"/>
    <w:pPr>
      <w:tabs>
        <w:tab w:val="left" w:pos="850"/>
      </w:tabs>
      <w:spacing w:before="120" w:after="120" w:line="240" w:lineRule="auto"/>
      <w:ind w:left="850" w:hanging="850"/>
    </w:pPr>
  </w:style>
  <w:style w:type="paragraph" w:customStyle="1" w:styleId="Wytyczne111Sekcja1-">
    <w:name w:val="Wytyczne 1.1.1 Sekcja 1 -"/>
    <w:basedOn w:val="Nagwek3"/>
    <w:pPr>
      <w:spacing w:before="240" w:after="240"/>
      <w:jc w:val="center"/>
    </w:pPr>
    <w:rPr>
      <w:rFonts w:cs="Arial"/>
      <w:bCs/>
      <w:szCs w:val="26"/>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customStyle="1" w:styleId="Nagwek22">
    <w:name w:val="Nagłówek #2"/>
    <w:basedOn w:val="Normalny"/>
    <w:pPr>
      <w:widowControl w:val="0"/>
      <w:shd w:val="clear" w:color="auto" w:fill="FFFFFF"/>
      <w:spacing w:line="0" w:lineRule="atLeast"/>
      <w:ind w:hanging="3500"/>
      <w:jc w:val="center"/>
    </w:pPr>
    <w:rPr>
      <w:rFonts w:ascii="Arial" w:eastAsia="Arial" w:hAnsi="Arial" w:cs="Arial"/>
      <w:b/>
      <w:bCs/>
      <w:i/>
      <w:iCs/>
      <w:sz w:val="22"/>
      <w:szCs w:val="22"/>
      <w:shd w:val="clear" w:color="auto" w:fill="FFFFFF"/>
    </w:rPr>
  </w:style>
  <w:style w:type="paragraph" w:styleId="Poprawka">
    <w:name w:val="Revision"/>
    <w:pPr>
      <w:suppressAutoHyphens/>
    </w:pPr>
    <w:rPr>
      <w:sz w:val="24"/>
      <w:szCs w:val="24"/>
      <w:lang w:eastAsia="zh-CN"/>
    </w:rPr>
  </w:style>
  <w:style w:type="paragraph" w:customStyle="1" w:styleId="PointTriple2">
    <w:name w:val="PointTriple 2"/>
    <w:basedOn w:val="Normalny"/>
    <w:pPr>
      <w:tabs>
        <w:tab w:val="left" w:pos="1984"/>
        <w:tab w:val="left" w:pos="2551"/>
      </w:tabs>
      <w:spacing w:before="120" w:after="120" w:line="240" w:lineRule="auto"/>
      <w:ind w:left="3118" w:hanging="1701"/>
    </w:pPr>
  </w:style>
  <w:style w:type="paragraph" w:customStyle="1" w:styleId="CM3">
    <w:name w:val="CM3"/>
    <w:basedOn w:val="Default"/>
    <w:next w:val="Default"/>
    <w:rPr>
      <w:rFonts w:ascii="EUAlbertina" w:eastAsia="MS Mincho" w:hAnsi="EUAlbertina" w:cs="Times New Roman"/>
      <w:color w:val="auto"/>
    </w:rPr>
  </w:style>
  <w:style w:type="paragraph" w:customStyle="1" w:styleId="ARTartustawynprozporzdzenia">
    <w:name w:val="ART(§) – art. ustawy (§ np. rozporządzenia)"/>
    <w:pPr>
      <w:suppressAutoHyphens/>
      <w:autoSpaceDE w:val="0"/>
      <w:spacing w:before="120" w:line="360" w:lineRule="auto"/>
      <w:ind w:firstLine="510"/>
      <w:jc w:val="both"/>
    </w:pPr>
    <w:rPr>
      <w:rFonts w:ascii="Times" w:hAnsi="Times" w:cs="Arial"/>
      <w:sz w:val="24"/>
      <w:lang w:eastAsia="zh-CN"/>
    </w:rPr>
  </w:style>
  <w:style w:type="paragraph" w:customStyle="1" w:styleId="nagjed">
    <w:name w:val="nag_jed"/>
    <w:basedOn w:val="Normalny"/>
    <w:pPr>
      <w:spacing w:before="60" w:after="60" w:line="240" w:lineRule="auto"/>
      <w:jc w:val="center"/>
    </w:pPr>
    <w:rPr>
      <w:b/>
      <w:bCs/>
    </w:rPr>
  </w:style>
  <w:style w:type="paragraph" w:customStyle="1" w:styleId="USTustnpkodeksu">
    <w:name w:val="UST(§) – ust. (§ np. kodeksu)"/>
    <w:basedOn w:val="ARTartustawynprozporzdzenia"/>
    <w:pPr>
      <w:spacing w:before="0"/>
    </w:pPr>
    <w:rPr>
      <w:bCs/>
    </w:rPr>
  </w:style>
  <w:style w:type="paragraph" w:styleId="Akapitzlist">
    <w:name w:val="List Paragraph"/>
    <w:aliases w:val="Numerowanie,List Paragraph,Akapit z listą BS,Wykres,Akapit z listą1"/>
    <w:basedOn w:val="Normalny"/>
    <w:uiPriority w:val="34"/>
    <w:qFormat/>
    <w:pPr>
      <w:ind w:left="708"/>
    </w:pPr>
  </w:style>
  <w:style w:type="paragraph" w:styleId="Tekstprzypisukocowego">
    <w:name w:val="endnote text"/>
    <w:basedOn w:val="Normalny"/>
    <w:rPr>
      <w:sz w:val="20"/>
      <w:szCs w:val="20"/>
    </w:rPr>
  </w:style>
  <w:style w:type="paragraph" w:customStyle="1" w:styleId="doc-ti">
    <w:name w:val="doc-ti"/>
    <w:basedOn w:val="Normalny"/>
    <w:pPr>
      <w:spacing w:before="280" w:after="280" w:line="240" w:lineRule="auto"/>
      <w:jc w:val="left"/>
    </w:pPr>
    <w:rPr>
      <w:rFonts w:eastAsia="MS Mincho"/>
      <w:lang w:eastAsia="ja-JP"/>
    </w:rPr>
  </w:style>
  <w:style w:type="paragraph" w:customStyle="1" w:styleId="Nagwekwykazurde1">
    <w:name w:val="Nagłówek wykazu źródeł1"/>
    <w:basedOn w:val="Nagwek1"/>
    <w:next w:val="Normalny"/>
    <w:pPr>
      <w:keepLines/>
      <w:spacing w:before="480" w:after="0" w:line="276" w:lineRule="auto"/>
      <w:ind w:left="0" w:firstLine="0"/>
      <w:jc w:val="left"/>
    </w:pPr>
    <w:rPr>
      <w:rFonts w:ascii="Cambria" w:eastAsia="Times New Roman" w:hAnsi="Cambria" w:cs="Times New Roman"/>
      <w:bCs/>
      <w:color w:val="365F91"/>
      <w:sz w:val="28"/>
      <w:szCs w:val="28"/>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yle32">
    <w:name w:val="Style32"/>
    <w:basedOn w:val="Normalny"/>
    <w:pPr>
      <w:widowControl w:val="0"/>
      <w:spacing w:line="518" w:lineRule="exact"/>
      <w:ind w:firstLine="1008"/>
      <w:jc w:val="left"/>
    </w:pPr>
    <w:rPr>
      <w:rFonts w:ascii="Arial Unicode MS" w:eastAsia="Arial Unicode MS" w:hAnsi="Arial Unicode MS" w:cs="Arial Unicode MS"/>
    </w:rPr>
  </w:style>
  <w:style w:type="paragraph" w:customStyle="1" w:styleId="WW-Gwka">
    <w:name w:val="WW-Główka"/>
    <w:basedOn w:val="Normalny"/>
    <w:pPr>
      <w:tabs>
        <w:tab w:val="center" w:pos="4536"/>
        <w:tab w:val="right" w:pos="9072"/>
      </w:tabs>
      <w:spacing w:line="240" w:lineRule="auto"/>
      <w:jc w:val="left"/>
    </w:pPr>
    <w:rPr>
      <w:rFonts w:ascii="Calibri" w:eastAsia="Calibri" w:hAnsi="Calibri" w:cs="Calibri"/>
      <w:sz w:val="22"/>
      <w:szCs w:val="22"/>
    </w:rPr>
  </w:style>
  <w:style w:type="paragraph" w:customStyle="1" w:styleId="Gwkalewa">
    <w:name w:val="Główka lewa"/>
    <w:basedOn w:val="Normalny"/>
    <w:pPr>
      <w:suppressLineNumbers/>
      <w:tabs>
        <w:tab w:val="center" w:pos="4536"/>
        <w:tab w:val="right" w:pos="9072"/>
      </w:tabs>
    </w:pPr>
  </w:style>
  <w:style w:type="paragraph" w:customStyle="1" w:styleId="Przypisdolny">
    <w:name w:val="Przypis dolny"/>
    <w:basedOn w:val="Normalny"/>
    <w:pPr>
      <w:spacing w:after="200" w:line="276" w:lineRule="auto"/>
      <w:jc w:val="left"/>
    </w:pPr>
    <w:rPr>
      <w:rFonts w:ascii="Calibri" w:eastAsia="Calibri" w:hAnsi="Calibri" w:cs="Calibri"/>
      <w:sz w:val="22"/>
      <w:szCs w:val="22"/>
      <w:lang w:eastAsia="en-US"/>
    </w:rPr>
  </w:style>
  <w:style w:type="character" w:customStyle="1" w:styleId="AkapitzlistZnak">
    <w:name w:val="Akapit z listą Znak"/>
    <w:aliases w:val="Numerowanie Znak,List Paragraph Znak,Akapit z listą BS Znak,Wykres Znak,Akapit z listą1 Znak"/>
    <w:uiPriority w:val="34"/>
    <w:rPr>
      <w:sz w:val="24"/>
      <w:szCs w:val="24"/>
      <w:lang w:eastAsia="zh-CN"/>
    </w:rPr>
  </w:style>
  <w:style w:type="paragraph" w:customStyle="1" w:styleId="CM21">
    <w:name w:val="CM21"/>
    <w:basedOn w:val="Default"/>
    <w:next w:val="Default"/>
    <w:uiPriority w:val="99"/>
    <w:pPr>
      <w:widowControl w:val="0"/>
      <w:autoSpaceDE/>
      <w:spacing w:after="350"/>
    </w:pPr>
    <w:rPr>
      <w:rFonts w:ascii="HCDCNG+ArialNarrow" w:hAnsi="HCDCNG+ArialNarrow" w:cs="HCDCNG+ArialNarrow"/>
      <w:color w:val="00000A"/>
      <w:lang w:eastAsia="pl-PL"/>
    </w:rPr>
  </w:style>
  <w:style w:type="paragraph" w:styleId="Nagwekspisutreci">
    <w:name w:val="TOC Heading"/>
    <w:basedOn w:val="Nagwek1"/>
    <w:next w:val="Normalny"/>
    <w:uiPriority w:val="39"/>
    <w:qFormat/>
    <w:pPr>
      <w:keepLines/>
      <w:spacing w:before="480" w:after="0" w:line="276" w:lineRule="auto"/>
      <w:ind w:left="0" w:firstLine="0"/>
      <w:jc w:val="left"/>
    </w:pPr>
    <w:rPr>
      <w:rFonts w:ascii="Cambria" w:eastAsia="Times New Roman" w:hAnsi="Cambria" w:cs="Times New Roman"/>
      <w:bCs/>
      <w:caps/>
      <w:color w:val="365F91"/>
      <w:sz w:val="28"/>
      <w:szCs w:val="28"/>
      <w:lang w:eastAsia="en-US"/>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1">
    <w:name w:val="Tekst komentarza Znak1"/>
    <w:rPr>
      <w:lang w:eastAsia="zh-CN"/>
    </w:rPr>
  </w:style>
  <w:style w:type="character" w:customStyle="1" w:styleId="h2">
    <w:name w:val="h2"/>
  </w:style>
  <w:style w:type="paragraph" w:customStyle="1" w:styleId="Style31">
    <w:name w:val="Style31"/>
    <w:basedOn w:val="Normalny"/>
    <w:pPr>
      <w:widowControl w:val="0"/>
      <w:autoSpaceDE w:val="0"/>
      <w:spacing w:line="182" w:lineRule="exact"/>
    </w:pPr>
    <w:rPr>
      <w:lang w:eastAsia="pl-PL"/>
    </w:rPr>
  </w:style>
  <w:style w:type="paragraph" w:customStyle="1" w:styleId="Style41">
    <w:name w:val="Style41"/>
    <w:basedOn w:val="Normalny"/>
    <w:pPr>
      <w:widowControl w:val="0"/>
      <w:autoSpaceDE w:val="0"/>
      <w:spacing w:line="240" w:lineRule="auto"/>
    </w:pPr>
    <w:rPr>
      <w:lang w:eastAsia="pl-PL"/>
    </w:rPr>
  </w:style>
  <w:style w:type="character" w:customStyle="1" w:styleId="FontStyle63">
    <w:name w:val="Font Style63"/>
    <w:rPr>
      <w:rFonts w:ascii="Arial Unicode MS" w:eastAsia="Arial Unicode MS" w:hAnsi="Arial Unicode MS" w:cs="Arial Unicode MS"/>
      <w:color w:val="000000"/>
      <w:sz w:val="14"/>
      <w:szCs w:val="14"/>
    </w:rPr>
  </w:style>
  <w:style w:type="paragraph" w:customStyle="1" w:styleId="Style1">
    <w:name w:val="Style1"/>
    <w:basedOn w:val="Normalny"/>
    <w:pPr>
      <w:widowControl w:val="0"/>
      <w:autoSpaceDE w:val="0"/>
      <w:spacing w:line="240" w:lineRule="auto"/>
      <w:jc w:val="left"/>
    </w:pPr>
    <w:rPr>
      <w:lang w:eastAsia="pl-PL"/>
    </w:rPr>
  </w:style>
  <w:style w:type="paragraph" w:customStyle="1" w:styleId="Style2">
    <w:name w:val="Style2"/>
    <w:basedOn w:val="Normalny"/>
    <w:pPr>
      <w:widowControl w:val="0"/>
      <w:autoSpaceDE w:val="0"/>
      <w:spacing w:line="379" w:lineRule="exact"/>
      <w:ind w:hanging="523"/>
    </w:pPr>
    <w:rPr>
      <w:lang w:eastAsia="pl-PL"/>
    </w:rPr>
  </w:style>
  <w:style w:type="paragraph" w:customStyle="1" w:styleId="Style3">
    <w:name w:val="Style3"/>
    <w:basedOn w:val="Normalny"/>
    <w:pPr>
      <w:widowControl w:val="0"/>
      <w:autoSpaceDE w:val="0"/>
      <w:spacing w:line="240" w:lineRule="auto"/>
      <w:jc w:val="left"/>
    </w:pPr>
    <w:rPr>
      <w:lang w:eastAsia="pl-PL"/>
    </w:rPr>
  </w:style>
  <w:style w:type="paragraph" w:customStyle="1" w:styleId="Style4">
    <w:name w:val="Style4"/>
    <w:basedOn w:val="Normalny"/>
    <w:pPr>
      <w:widowControl w:val="0"/>
      <w:autoSpaceDE w:val="0"/>
      <w:spacing w:line="415" w:lineRule="exact"/>
      <w:jc w:val="center"/>
    </w:pPr>
    <w:rPr>
      <w:lang w:eastAsia="pl-PL"/>
    </w:rPr>
  </w:style>
  <w:style w:type="paragraph" w:customStyle="1" w:styleId="Style5">
    <w:name w:val="Style5"/>
    <w:basedOn w:val="Normalny"/>
    <w:pPr>
      <w:widowControl w:val="0"/>
      <w:autoSpaceDE w:val="0"/>
      <w:spacing w:line="499" w:lineRule="exact"/>
      <w:ind w:hanging="216"/>
      <w:jc w:val="left"/>
    </w:pPr>
    <w:rPr>
      <w:lang w:eastAsia="pl-PL"/>
    </w:rPr>
  </w:style>
  <w:style w:type="paragraph" w:customStyle="1" w:styleId="Style6">
    <w:name w:val="Style6"/>
    <w:basedOn w:val="Normalny"/>
    <w:pPr>
      <w:widowControl w:val="0"/>
      <w:autoSpaceDE w:val="0"/>
      <w:spacing w:line="500" w:lineRule="exact"/>
      <w:ind w:hanging="145"/>
      <w:jc w:val="left"/>
    </w:pPr>
    <w:rPr>
      <w:lang w:eastAsia="pl-PL"/>
    </w:rPr>
  </w:style>
  <w:style w:type="paragraph" w:customStyle="1" w:styleId="Style7">
    <w:name w:val="Style7"/>
    <w:basedOn w:val="Normalny"/>
    <w:pPr>
      <w:widowControl w:val="0"/>
      <w:autoSpaceDE w:val="0"/>
      <w:spacing w:line="240" w:lineRule="auto"/>
      <w:jc w:val="left"/>
    </w:pPr>
    <w:rPr>
      <w:lang w:eastAsia="pl-PL"/>
    </w:rPr>
  </w:style>
  <w:style w:type="paragraph" w:customStyle="1" w:styleId="Style8">
    <w:name w:val="Style8"/>
    <w:basedOn w:val="Normalny"/>
    <w:pPr>
      <w:widowControl w:val="0"/>
      <w:autoSpaceDE w:val="0"/>
      <w:spacing w:line="240" w:lineRule="auto"/>
      <w:jc w:val="center"/>
    </w:pPr>
    <w:rPr>
      <w:lang w:eastAsia="pl-PL"/>
    </w:rPr>
  </w:style>
  <w:style w:type="paragraph" w:customStyle="1" w:styleId="Style9">
    <w:name w:val="Style9"/>
    <w:basedOn w:val="Normalny"/>
    <w:pPr>
      <w:widowControl w:val="0"/>
      <w:autoSpaceDE w:val="0"/>
      <w:spacing w:line="240" w:lineRule="auto"/>
      <w:jc w:val="left"/>
    </w:pPr>
    <w:rPr>
      <w:lang w:eastAsia="pl-PL"/>
    </w:rPr>
  </w:style>
  <w:style w:type="paragraph" w:customStyle="1" w:styleId="Style10">
    <w:name w:val="Style10"/>
    <w:basedOn w:val="Normalny"/>
    <w:pPr>
      <w:widowControl w:val="0"/>
      <w:autoSpaceDE w:val="0"/>
      <w:spacing w:line="240" w:lineRule="auto"/>
    </w:pPr>
    <w:rPr>
      <w:lang w:eastAsia="pl-PL"/>
    </w:rPr>
  </w:style>
  <w:style w:type="paragraph" w:customStyle="1" w:styleId="Style11">
    <w:name w:val="Style11"/>
    <w:basedOn w:val="Normalny"/>
    <w:pPr>
      <w:widowControl w:val="0"/>
      <w:autoSpaceDE w:val="0"/>
      <w:spacing w:line="240" w:lineRule="auto"/>
      <w:jc w:val="left"/>
    </w:pPr>
    <w:rPr>
      <w:lang w:eastAsia="pl-PL"/>
    </w:rPr>
  </w:style>
  <w:style w:type="paragraph" w:customStyle="1" w:styleId="Style12">
    <w:name w:val="Style12"/>
    <w:basedOn w:val="Normalny"/>
    <w:pPr>
      <w:widowControl w:val="0"/>
      <w:autoSpaceDE w:val="0"/>
      <w:spacing w:line="240" w:lineRule="auto"/>
    </w:pPr>
    <w:rPr>
      <w:lang w:eastAsia="pl-PL"/>
    </w:rPr>
  </w:style>
  <w:style w:type="paragraph" w:customStyle="1" w:styleId="Style13">
    <w:name w:val="Style13"/>
    <w:basedOn w:val="Normalny"/>
    <w:pPr>
      <w:widowControl w:val="0"/>
      <w:autoSpaceDE w:val="0"/>
      <w:spacing w:line="240" w:lineRule="auto"/>
    </w:pPr>
    <w:rPr>
      <w:lang w:eastAsia="pl-PL"/>
    </w:rPr>
  </w:style>
  <w:style w:type="paragraph" w:customStyle="1" w:styleId="Style14">
    <w:name w:val="Style14"/>
    <w:basedOn w:val="Normalny"/>
    <w:pPr>
      <w:widowControl w:val="0"/>
      <w:autoSpaceDE w:val="0"/>
      <w:spacing w:line="240" w:lineRule="auto"/>
      <w:jc w:val="right"/>
    </w:pPr>
    <w:rPr>
      <w:lang w:eastAsia="pl-PL"/>
    </w:rPr>
  </w:style>
  <w:style w:type="paragraph" w:customStyle="1" w:styleId="Style15">
    <w:name w:val="Style15"/>
    <w:basedOn w:val="Normalny"/>
    <w:pPr>
      <w:widowControl w:val="0"/>
      <w:autoSpaceDE w:val="0"/>
      <w:spacing w:line="240" w:lineRule="auto"/>
      <w:jc w:val="left"/>
    </w:pPr>
    <w:rPr>
      <w:lang w:eastAsia="pl-PL"/>
    </w:rPr>
  </w:style>
  <w:style w:type="paragraph" w:customStyle="1" w:styleId="Style16">
    <w:name w:val="Style16"/>
    <w:basedOn w:val="Normalny"/>
    <w:pPr>
      <w:widowControl w:val="0"/>
      <w:autoSpaceDE w:val="0"/>
      <w:spacing w:line="408" w:lineRule="exact"/>
      <w:ind w:hanging="1046"/>
      <w:jc w:val="left"/>
    </w:pPr>
    <w:rPr>
      <w:lang w:eastAsia="pl-PL"/>
    </w:rPr>
  </w:style>
  <w:style w:type="paragraph" w:customStyle="1" w:styleId="Style17">
    <w:name w:val="Style17"/>
    <w:basedOn w:val="Normalny"/>
    <w:pPr>
      <w:widowControl w:val="0"/>
      <w:autoSpaceDE w:val="0"/>
      <w:spacing w:line="187" w:lineRule="exact"/>
      <w:jc w:val="left"/>
    </w:pPr>
    <w:rPr>
      <w:lang w:eastAsia="pl-PL"/>
    </w:rPr>
  </w:style>
  <w:style w:type="paragraph" w:customStyle="1" w:styleId="Style18">
    <w:name w:val="Style18"/>
    <w:basedOn w:val="Normalny"/>
    <w:pPr>
      <w:widowControl w:val="0"/>
      <w:autoSpaceDE w:val="0"/>
      <w:spacing w:line="240" w:lineRule="auto"/>
      <w:jc w:val="left"/>
    </w:pPr>
    <w:rPr>
      <w:lang w:eastAsia="pl-PL"/>
    </w:rPr>
  </w:style>
  <w:style w:type="paragraph" w:customStyle="1" w:styleId="Style19">
    <w:name w:val="Style19"/>
    <w:basedOn w:val="Normalny"/>
    <w:pPr>
      <w:widowControl w:val="0"/>
      <w:autoSpaceDE w:val="0"/>
      <w:spacing w:line="413" w:lineRule="exact"/>
      <w:ind w:hanging="427"/>
      <w:jc w:val="left"/>
    </w:pPr>
    <w:rPr>
      <w:lang w:eastAsia="pl-PL"/>
    </w:rPr>
  </w:style>
  <w:style w:type="paragraph" w:customStyle="1" w:styleId="Style20">
    <w:name w:val="Style20"/>
    <w:basedOn w:val="Normalny"/>
    <w:pPr>
      <w:widowControl w:val="0"/>
      <w:autoSpaceDE w:val="0"/>
      <w:spacing w:line="418" w:lineRule="exact"/>
      <w:ind w:hanging="715"/>
      <w:jc w:val="left"/>
    </w:pPr>
    <w:rPr>
      <w:lang w:eastAsia="pl-PL"/>
    </w:rPr>
  </w:style>
  <w:style w:type="paragraph" w:customStyle="1" w:styleId="Style21">
    <w:name w:val="Style21"/>
    <w:basedOn w:val="Normalny"/>
    <w:pPr>
      <w:widowControl w:val="0"/>
      <w:autoSpaceDE w:val="0"/>
      <w:spacing w:line="240" w:lineRule="auto"/>
      <w:jc w:val="left"/>
    </w:pPr>
    <w:rPr>
      <w:lang w:eastAsia="pl-PL"/>
    </w:rPr>
  </w:style>
  <w:style w:type="paragraph" w:customStyle="1" w:styleId="Style22">
    <w:name w:val="Style22"/>
    <w:basedOn w:val="Normalny"/>
    <w:pPr>
      <w:widowControl w:val="0"/>
      <w:autoSpaceDE w:val="0"/>
      <w:spacing w:line="380" w:lineRule="exact"/>
      <w:ind w:hanging="326"/>
    </w:pPr>
    <w:rPr>
      <w:lang w:eastAsia="pl-PL"/>
    </w:rPr>
  </w:style>
  <w:style w:type="paragraph" w:customStyle="1" w:styleId="Style23">
    <w:name w:val="Style23"/>
    <w:basedOn w:val="Normalny"/>
    <w:pPr>
      <w:widowControl w:val="0"/>
      <w:autoSpaceDE w:val="0"/>
      <w:spacing w:line="287" w:lineRule="exact"/>
    </w:pPr>
    <w:rPr>
      <w:lang w:eastAsia="pl-PL"/>
    </w:rPr>
  </w:style>
  <w:style w:type="paragraph" w:customStyle="1" w:styleId="Style24">
    <w:name w:val="Style24"/>
    <w:basedOn w:val="Normalny"/>
    <w:pPr>
      <w:widowControl w:val="0"/>
      <w:autoSpaceDE w:val="0"/>
      <w:spacing w:line="240" w:lineRule="auto"/>
      <w:jc w:val="left"/>
    </w:pPr>
    <w:rPr>
      <w:lang w:eastAsia="pl-PL"/>
    </w:rPr>
  </w:style>
  <w:style w:type="paragraph" w:customStyle="1" w:styleId="Style25">
    <w:name w:val="Style25"/>
    <w:basedOn w:val="Normalny"/>
    <w:pPr>
      <w:widowControl w:val="0"/>
      <w:autoSpaceDE w:val="0"/>
      <w:spacing w:line="408" w:lineRule="exact"/>
      <w:ind w:hanging="907"/>
      <w:jc w:val="left"/>
    </w:pPr>
    <w:rPr>
      <w:lang w:eastAsia="pl-PL"/>
    </w:rPr>
  </w:style>
  <w:style w:type="paragraph" w:customStyle="1" w:styleId="Style26">
    <w:name w:val="Style26"/>
    <w:basedOn w:val="Normalny"/>
    <w:pPr>
      <w:widowControl w:val="0"/>
      <w:autoSpaceDE w:val="0"/>
      <w:spacing w:line="374" w:lineRule="exact"/>
      <w:ind w:hanging="274"/>
      <w:jc w:val="left"/>
    </w:pPr>
    <w:rPr>
      <w:lang w:eastAsia="pl-PL"/>
    </w:rPr>
  </w:style>
  <w:style w:type="paragraph" w:customStyle="1" w:styleId="Style27">
    <w:name w:val="Style27"/>
    <w:basedOn w:val="Normalny"/>
    <w:pPr>
      <w:widowControl w:val="0"/>
      <w:autoSpaceDE w:val="0"/>
      <w:spacing w:line="377" w:lineRule="exact"/>
      <w:ind w:hanging="355"/>
    </w:pPr>
    <w:rPr>
      <w:lang w:eastAsia="pl-PL"/>
    </w:rPr>
  </w:style>
  <w:style w:type="paragraph" w:customStyle="1" w:styleId="Style28">
    <w:name w:val="Style28"/>
    <w:basedOn w:val="Normalny"/>
    <w:pPr>
      <w:widowControl w:val="0"/>
      <w:autoSpaceDE w:val="0"/>
      <w:spacing w:line="240" w:lineRule="auto"/>
      <w:jc w:val="left"/>
    </w:pPr>
    <w:rPr>
      <w:lang w:eastAsia="pl-PL"/>
    </w:rPr>
  </w:style>
  <w:style w:type="paragraph" w:customStyle="1" w:styleId="Style29">
    <w:name w:val="Style29"/>
    <w:basedOn w:val="Normalny"/>
    <w:pPr>
      <w:widowControl w:val="0"/>
      <w:autoSpaceDE w:val="0"/>
      <w:spacing w:line="240" w:lineRule="auto"/>
      <w:jc w:val="left"/>
    </w:pPr>
    <w:rPr>
      <w:lang w:eastAsia="pl-PL"/>
    </w:rPr>
  </w:style>
  <w:style w:type="paragraph" w:customStyle="1" w:styleId="Style30">
    <w:name w:val="Style30"/>
    <w:basedOn w:val="Normalny"/>
    <w:pPr>
      <w:widowControl w:val="0"/>
      <w:autoSpaceDE w:val="0"/>
      <w:spacing w:line="413" w:lineRule="exact"/>
      <w:ind w:hanging="576"/>
      <w:jc w:val="left"/>
    </w:pPr>
    <w:rPr>
      <w:lang w:eastAsia="pl-PL"/>
    </w:rPr>
  </w:style>
  <w:style w:type="paragraph" w:customStyle="1" w:styleId="Style33">
    <w:name w:val="Style33"/>
    <w:basedOn w:val="Normalny"/>
    <w:pPr>
      <w:widowControl w:val="0"/>
      <w:autoSpaceDE w:val="0"/>
      <w:spacing w:line="384" w:lineRule="exact"/>
      <w:ind w:hanging="360"/>
    </w:pPr>
    <w:rPr>
      <w:lang w:eastAsia="pl-PL"/>
    </w:rPr>
  </w:style>
  <w:style w:type="paragraph" w:customStyle="1" w:styleId="Style34">
    <w:name w:val="Style34"/>
    <w:basedOn w:val="Normalny"/>
    <w:pPr>
      <w:widowControl w:val="0"/>
      <w:autoSpaceDE w:val="0"/>
      <w:spacing w:line="240" w:lineRule="auto"/>
    </w:pPr>
    <w:rPr>
      <w:lang w:eastAsia="pl-PL"/>
    </w:rPr>
  </w:style>
  <w:style w:type="paragraph" w:customStyle="1" w:styleId="Style35">
    <w:name w:val="Style35"/>
    <w:basedOn w:val="Normalny"/>
    <w:pPr>
      <w:widowControl w:val="0"/>
      <w:autoSpaceDE w:val="0"/>
      <w:spacing w:line="379" w:lineRule="exact"/>
    </w:pPr>
    <w:rPr>
      <w:lang w:eastAsia="pl-PL"/>
    </w:rPr>
  </w:style>
  <w:style w:type="paragraph" w:customStyle="1" w:styleId="Style36">
    <w:name w:val="Style36"/>
    <w:basedOn w:val="Normalny"/>
    <w:pPr>
      <w:widowControl w:val="0"/>
      <w:autoSpaceDE w:val="0"/>
      <w:spacing w:line="278" w:lineRule="exact"/>
      <w:jc w:val="left"/>
    </w:pPr>
    <w:rPr>
      <w:lang w:eastAsia="pl-PL"/>
    </w:rPr>
  </w:style>
  <w:style w:type="paragraph" w:customStyle="1" w:styleId="Style37">
    <w:name w:val="Style37"/>
    <w:basedOn w:val="Normalny"/>
    <w:pPr>
      <w:widowControl w:val="0"/>
      <w:autoSpaceDE w:val="0"/>
      <w:spacing w:line="240" w:lineRule="auto"/>
      <w:jc w:val="left"/>
    </w:pPr>
    <w:rPr>
      <w:lang w:eastAsia="pl-PL"/>
    </w:rPr>
  </w:style>
  <w:style w:type="paragraph" w:customStyle="1" w:styleId="Style38">
    <w:name w:val="Style38"/>
    <w:basedOn w:val="Normalny"/>
    <w:pPr>
      <w:widowControl w:val="0"/>
      <w:autoSpaceDE w:val="0"/>
      <w:spacing w:line="240" w:lineRule="auto"/>
      <w:jc w:val="left"/>
    </w:pPr>
    <w:rPr>
      <w:lang w:eastAsia="pl-PL"/>
    </w:rPr>
  </w:style>
  <w:style w:type="paragraph" w:customStyle="1" w:styleId="Style39">
    <w:name w:val="Style39"/>
    <w:basedOn w:val="Normalny"/>
    <w:pPr>
      <w:widowControl w:val="0"/>
      <w:autoSpaceDE w:val="0"/>
      <w:spacing w:line="418" w:lineRule="exact"/>
      <w:ind w:hanging="715"/>
      <w:jc w:val="left"/>
    </w:pPr>
    <w:rPr>
      <w:lang w:eastAsia="pl-PL"/>
    </w:rPr>
  </w:style>
  <w:style w:type="paragraph" w:customStyle="1" w:styleId="Style40">
    <w:name w:val="Style40"/>
    <w:basedOn w:val="Normalny"/>
    <w:pPr>
      <w:widowControl w:val="0"/>
      <w:autoSpaceDE w:val="0"/>
      <w:spacing w:line="240" w:lineRule="auto"/>
      <w:jc w:val="right"/>
    </w:pPr>
    <w:rPr>
      <w:lang w:eastAsia="pl-PL"/>
    </w:rPr>
  </w:style>
  <w:style w:type="paragraph" w:customStyle="1" w:styleId="Style42">
    <w:name w:val="Style42"/>
    <w:basedOn w:val="Normalny"/>
    <w:pPr>
      <w:widowControl w:val="0"/>
      <w:autoSpaceDE w:val="0"/>
      <w:spacing w:line="274" w:lineRule="exact"/>
      <w:ind w:firstLine="197"/>
    </w:pPr>
    <w:rPr>
      <w:lang w:eastAsia="pl-PL"/>
    </w:rPr>
  </w:style>
  <w:style w:type="paragraph" w:customStyle="1" w:styleId="Style43">
    <w:name w:val="Style43"/>
    <w:basedOn w:val="Normalny"/>
    <w:pPr>
      <w:widowControl w:val="0"/>
      <w:autoSpaceDE w:val="0"/>
      <w:spacing w:line="360" w:lineRule="exact"/>
    </w:pPr>
    <w:rPr>
      <w:lang w:eastAsia="pl-PL"/>
    </w:rPr>
  </w:style>
  <w:style w:type="paragraph" w:customStyle="1" w:styleId="Style44">
    <w:name w:val="Style44"/>
    <w:basedOn w:val="Normalny"/>
    <w:pPr>
      <w:widowControl w:val="0"/>
      <w:autoSpaceDE w:val="0"/>
      <w:spacing w:line="240" w:lineRule="auto"/>
      <w:jc w:val="left"/>
    </w:pPr>
    <w:rPr>
      <w:lang w:eastAsia="pl-PL"/>
    </w:rPr>
  </w:style>
  <w:style w:type="paragraph" w:customStyle="1" w:styleId="Style45">
    <w:name w:val="Style45"/>
    <w:basedOn w:val="Normalny"/>
    <w:pPr>
      <w:widowControl w:val="0"/>
      <w:autoSpaceDE w:val="0"/>
      <w:spacing w:line="394" w:lineRule="exact"/>
      <w:ind w:hanging="614"/>
      <w:jc w:val="left"/>
    </w:pPr>
    <w:rPr>
      <w:lang w:eastAsia="pl-PL"/>
    </w:rPr>
  </w:style>
  <w:style w:type="paragraph" w:customStyle="1" w:styleId="Style46">
    <w:name w:val="Style46"/>
    <w:basedOn w:val="Normalny"/>
    <w:pPr>
      <w:widowControl w:val="0"/>
      <w:autoSpaceDE w:val="0"/>
      <w:spacing w:line="274" w:lineRule="exact"/>
    </w:pPr>
    <w:rPr>
      <w:lang w:eastAsia="pl-PL"/>
    </w:rPr>
  </w:style>
  <w:style w:type="paragraph" w:customStyle="1" w:styleId="Style47">
    <w:name w:val="Style47"/>
    <w:basedOn w:val="Normalny"/>
    <w:pPr>
      <w:widowControl w:val="0"/>
      <w:autoSpaceDE w:val="0"/>
      <w:spacing w:line="379" w:lineRule="exact"/>
    </w:pPr>
    <w:rPr>
      <w:lang w:eastAsia="pl-PL"/>
    </w:rPr>
  </w:style>
  <w:style w:type="character" w:customStyle="1" w:styleId="FontStyle49">
    <w:name w:val="Font Style49"/>
    <w:rPr>
      <w:rFonts w:ascii="Times New Roman" w:hAnsi="Times New Roman" w:cs="Times New Roman"/>
      <w:b/>
      <w:bCs/>
      <w:color w:val="000000"/>
      <w:sz w:val="24"/>
      <w:szCs w:val="24"/>
    </w:rPr>
  </w:style>
  <w:style w:type="character" w:customStyle="1" w:styleId="FontStyle50">
    <w:name w:val="Font Style50"/>
    <w:rPr>
      <w:rFonts w:ascii="Arial Unicode MS" w:eastAsia="Arial Unicode MS" w:hAnsi="Arial Unicode MS" w:cs="Arial Unicode MS"/>
      <w:b/>
      <w:bCs/>
      <w:i/>
      <w:iCs/>
      <w:color w:val="000000"/>
      <w:spacing w:val="10"/>
      <w:sz w:val="20"/>
      <w:szCs w:val="20"/>
    </w:rPr>
  </w:style>
  <w:style w:type="character" w:customStyle="1" w:styleId="FontStyle51">
    <w:name w:val="Font Style51"/>
    <w:rPr>
      <w:rFonts w:ascii="Arial Unicode MS" w:eastAsia="Arial Unicode MS" w:hAnsi="Arial Unicode MS" w:cs="Arial Unicode MS"/>
      <w:smallCaps/>
      <w:color w:val="000000"/>
      <w:sz w:val="16"/>
      <w:szCs w:val="16"/>
    </w:rPr>
  </w:style>
  <w:style w:type="character" w:customStyle="1" w:styleId="FontStyle52">
    <w:name w:val="Font Style52"/>
    <w:rPr>
      <w:rFonts w:ascii="Times New Roman" w:hAnsi="Times New Roman" w:cs="Times New Roman"/>
      <w:color w:val="000000"/>
      <w:sz w:val="20"/>
      <w:szCs w:val="20"/>
    </w:rPr>
  </w:style>
  <w:style w:type="character" w:customStyle="1" w:styleId="FontStyle53">
    <w:name w:val="Font Style53"/>
    <w:rPr>
      <w:rFonts w:ascii="Times New Roman" w:hAnsi="Times New Roman" w:cs="Times New Roman"/>
      <w:color w:val="000000"/>
      <w:sz w:val="14"/>
      <w:szCs w:val="14"/>
    </w:rPr>
  </w:style>
  <w:style w:type="character" w:customStyle="1" w:styleId="FontStyle54">
    <w:name w:val="Font Style54"/>
    <w:rPr>
      <w:rFonts w:ascii="Arial Unicode MS" w:eastAsia="Arial Unicode MS" w:hAnsi="Arial Unicode MS" w:cs="Arial Unicode MS"/>
      <w:color w:val="000000"/>
      <w:sz w:val="18"/>
      <w:szCs w:val="18"/>
    </w:rPr>
  </w:style>
  <w:style w:type="character" w:customStyle="1" w:styleId="FontStyle55">
    <w:name w:val="Font Style55"/>
    <w:rPr>
      <w:rFonts w:ascii="Arial Unicode MS" w:eastAsia="Arial Unicode MS" w:hAnsi="Arial Unicode MS" w:cs="Arial Unicode MS"/>
      <w:color w:val="000000"/>
      <w:sz w:val="10"/>
      <w:szCs w:val="10"/>
    </w:rPr>
  </w:style>
  <w:style w:type="character" w:customStyle="1" w:styleId="FontStyle56">
    <w:name w:val="Font Style56"/>
    <w:rPr>
      <w:rFonts w:ascii="Times New Roman" w:hAnsi="Times New Roman" w:cs="Times New Roman"/>
      <w:i/>
      <w:iCs/>
      <w:smallCaps/>
      <w:color w:val="000000"/>
      <w:spacing w:val="-20"/>
      <w:sz w:val="20"/>
      <w:szCs w:val="20"/>
    </w:rPr>
  </w:style>
  <w:style w:type="character" w:customStyle="1" w:styleId="FontStyle58">
    <w:name w:val="Font Style58"/>
    <w:rPr>
      <w:rFonts w:ascii="Times New Roman" w:hAnsi="Times New Roman" w:cs="Times New Roman"/>
      <w:color w:val="000000"/>
      <w:sz w:val="12"/>
      <w:szCs w:val="12"/>
    </w:rPr>
  </w:style>
  <w:style w:type="character" w:customStyle="1" w:styleId="FontStyle59">
    <w:name w:val="Font Style59"/>
    <w:rPr>
      <w:rFonts w:ascii="Arial Unicode MS" w:eastAsia="Arial Unicode MS" w:hAnsi="Arial Unicode MS" w:cs="Arial Unicode MS"/>
      <w:b/>
      <w:bCs/>
      <w:i/>
      <w:iCs/>
      <w:color w:val="000000"/>
      <w:spacing w:val="10"/>
      <w:sz w:val="14"/>
      <w:szCs w:val="14"/>
    </w:rPr>
  </w:style>
  <w:style w:type="character" w:customStyle="1" w:styleId="FontStyle60">
    <w:name w:val="Font Style60"/>
    <w:rPr>
      <w:rFonts w:ascii="Arial Unicode MS" w:eastAsia="Arial Unicode MS" w:hAnsi="Arial Unicode MS" w:cs="Arial Unicode MS"/>
      <w:b/>
      <w:bCs/>
      <w:i/>
      <w:iCs/>
      <w:color w:val="000000"/>
      <w:spacing w:val="10"/>
      <w:sz w:val="18"/>
      <w:szCs w:val="18"/>
    </w:rPr>
  </w:style>
  <w:style w:type="character" w:customStyle="1" w:styleId="FontStyle61">
    <w:name w:val="Font Style61"/>
    <w:rPr>
      <w:rFonts w:ascii="Arial Unicode MS" w:eastAsia="Arial Unicode MS" w:hAnsi="Arial Unicode MS" w:cs="Arial Unicode MS"/>
      <w:b/>
      <w:bCs/>
      <w:i/>
      <w:iCs/>
      <w:color w:val="000000"/>
      <w:spacing w:val="10"/>
      <w:sz w:val="18"/>
      <w:szCs w:val="18"/>
    </w:rPr>
  </w:style>
  <w:style w:type="character" w:customStyle="1" w:styleId="FontStyle62">
    <w:name w:val="Font Style62"/>
    <w:rPr>
      <w:rFonts w:ascii="Arial Unicode MS" w:eastAsia="Arial Unicode MS" w:hAnsi="Arial Unicode MS" w:cs="Arial Unicode MS"/>
      <w:b/>
      <w:bCs/>
      <w:i/>
      <w:iCs/>
      <w:color w:val="000000"/>
      <w:spacing w:val="10"/>
      <w:sz w:val="22"/>
      <w:szCs w:val="22"/>
    </w:rPr>
  </w:style>
  <w:style w:type="character" w:customStyle="1" w:styleId="FontStyle64">
    <w:name w:val="Font Style64"/>
    <w:rPr>
      <w:rFonts w:ascii="Arial Unicode MS" w:eastAsia="Arial Unicode MS" w:hAnsi="Arial Unicode MS" w:cs="Arial Unicode MS"/>
      <w:b/>
      <w:bCs/>
      <w:color w:val="000000"/>
      <w:sz w:val="24"/>
      <w:szCs w:val="24"/>
    </w:rPr>
  </w:style>
  <w:style w:type="character" w:customStyle="1" w:styleId="FontStyle65">
    <w:name w:val="Font Style65"/>
    <w:rPr>
      <w:rFonts w:ascii="Arial Unicode MS" w:eastAsia="Arial Unicode MS" w:hAnsi="Arial Unicode MS" w:cs="Arial Unicode MS"/>
      <w:color w:val="000000"/>
      <w:sz w:val="156"/>
      <w:szCs w:val="156"/>
    </w:rPr>
  </w:style>
  <w:style w:type="character" w:customStyle="1" w:styleId="FontStyle66">
    <w:name w:val="Font Style66"/>
    <w:rPr>
      <w:rFonts w:ascii="Arial Unicode MS" w:eastAsia="Arial Unicode MS" w:hAnsi="Arial Unicode MS" w:cs="Arial Unicode MS"/>
      <w:b/>
      <w:bCs/>
      <w:color w:val="000000"/>
      <w:sz w:val="18"/>
      <w:szCs w:val="18"/>
    </w:rPr>
  </w:style>
  <w:style w:type="character" w:customStyle="1" w:styleId="FontStyle67">
    <w:name w:val="Font Style67"/>
    <w:rPr>
      <w:rFonts w:ascii="Arial Unicode MS" w:eastAsia="Arial Unicode MS" w:hAnsi="Arial Unicode MS" w:cs="Arial Unicode MS"/>
      <w:color w:val="000000"/>
      <w:sz w:val="18"/>
      <w:szCs w:val="18"/>
    </w:rPr>
  </w:style>
  <w:style w:type="character" w:customStyle="1" w:styleId="FontStyle68">
    <w:name w:val="Font Style68"/>
    <w:rPr>
      <w:rFonts w:ascii="Times New Roman" w:hAnsi="Times New Roman" w:cs="Times New Roman"/>
      <w:color w:val="000000"/>
      <w:sz w:val="18"/>
      <w:szCs w:val="18"/>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rPr>
      <w:sz w:val="24"/>
      <w:szCs w:val="24"/>
      <w:lang w:eastAsia="zh-CN"/>
    </w:rPr>
  </w:style>
  <w:style w:type="numbering" w:customStyle="1" w:styleId="WWOutlineListStyle11">
    <w:name w:val="WW_OutlineListStyle_11"/>
    <w:basedOn w:val="Bezlisty"/>
    <w:pPr>
      <w:numPr>
        <w:numId w:val="2"/>
      </w:numPr>
    </w:pPr>
  </w:style>
  <w:style w:type="numbering" w:customStyle="1" w:styleId="WWOutlineListStyle10">
    <w:name w:val="WW_OutlineListStyle_10"/>
    <w:basedOn w:val="Bezlisty"/>
    <w:pPr>
      <w:numPr>
        <w:numId w:val="3"/>
      </w:numPr>
    </w:pPr>
  </w:style>
  <w:style w:type="numbering" w:customStyle="1" w:styleId="WWOutlineListStyle9">
    <w:name w:val="WW_OutlineListStyle_9"/>
    <w:basedOn w:val="Bezlisty"/>
    <w:pPr>
      <w:numPr>
        <w:numId w:val="4"/>
      </w:numPr>
    </w:pPr>
  </w:style>
  <w:style w:type="numbering" w:customStyle="1" w:styleId="WWOutlineListStyle8">
    <w:name w:val="WW_OutlineListStyle_8"/>
    <w:basedOn w:val="Bezlisty"/>
    <w:pPr>
      <w:numPr>
        <w:numId w:val="5"/>
      </w:numPr>
    </w:pPr>
  </w:style>
  <w:style w:type="numbering" w:customStyle="1" w:styleId="WWOutlineListStyle7">
    <w:name w:val="WW_OutlineListStyle_7"/>
    <w:basedOn w:val="Bezlisty"/>
    <w:pPr>
      <w:numPr>
        <w:numId w:val="6"/>
      </w:numPr>
    </w:pPr>
  </w:style>
  <w:style w:type="numbering" w:customStyle="1" w:styleId="WWOutlineListStyle6">
    <w:name w:val="WW_OutlineListStyle_6"/>
    <w:basedOn w:val="Bezlisty"/>
    <w:pPr>
      <w:numPr>
        <w:numId w:val="7"/>
      </w:numPr>
    </w:pPr>
  </w:style>
  <w:style w:type="numbering" w:customStyle="1" w:styleId="WWOutlineListStyle5">
    <w:name w:val="WW_OutlineListStyle_5"/>
    <w:basedOn w:val="Bezlisty"/>
    <w:pPr>
      <w:numPr>
        <w:numId w:val="8"/>
      </w:numPr>
    </w:pPr>
  </w:style>
  <w:style w:type="numbering" w:customStyle="1" w:styleId="WWOutlineListStyle4">
    <w:name w:val="WW_OutlineListStyle_4"/>
    <w:basedOn w:val="Bezlisty"/>
    <w:pPr>
      <w:numPr>
        <w:numId w:val="9"/>
      </w:numPr>
    </w:pPr>
  </w:style>
  <w:style w:type="numbering" w:customStyle="1" w:styleId="WWOutlineListStyle3">
    <w:name w:val="WW_OutlineListStyle_3"/>
    <w:basedOn w:val="Bezlisty"/>
    <w:pPr>
      <w:numPr>
        <w:numId w:val="10"/>
      </w:numPr>
    </w:pPr>
  </w:style>
  <w:style w:type="numbering" w:customStyle="1" w:styleId="WWOutlineListStyle2">
    <w:name w:val="WW_OutlineListStyle_2"/>
    <w:basedOn w:val="Bezlisty"/>
    <w:pPr>
      <w:numPr>
        <w:numId w:val="11"/>
      </w:numPr>
    </w:pPr>
  </w:style>
  <w:style w:type="numbering" w:customStyle="1" w:styleId="WWOutlineListStyle1">
    <w:name w:val="WW_OutlineListStyle_1"/>
    <w:basedOn w:val="Bezlisty"/>
    <w:pPr>
      <w:numPr>
        <w:numId w:val="12"/>
      </w:numPr>
    </w:pPr>
  </w:style>
  <w:style w:type="numbering" w:customStyle="1" w:styleId="WWOutlineListStyle">
    <w:name w:val="WW_OutlineListStyle"/>
    <w:basedOn w:val="Bezlisty"/>
    <w:pPr>
      <w:numPr>
        <w:numId w:val="13"/>
      </w:numPr>
    </w:pPr>
  </w:style>
  <w:style w:type="numbering" w:customStyle="1" w:styleId="LFO1">
    <w:name w:val="LFO1"/>
    <w:basedOn w:val="Bezlisty"/>
    <w:pPr>
      <w:numPr>
        <w:numId w:val="14"/>
      </w:numPr>
    </w:pPr>
  </w:style>
  <w:style w:type="numbering" w:customStyle="1" w:styleId="LFO3">
    <w:name w:val="LFO3"/>
    <w:basedOn w:val="Bezlisty"/>
    <w:pPr>
      <w:numPr>
        <w:numId w:val="15"/>
      </w:numPr>
    </w:pPr>
  </w:style>
  <w:style w:type="numbering" w:customStyle="1" w:styleId="LFO5">
    <w:name w:val="LFO5"/>
    <w:basedOn w:val="Bezlisty"/>
    <w:pPr>
      <w:numPr>
        <w:numId w:val="16"/>
      </w:numPr>
    </w:pPr>
  </w:style>
  <w:style w:type="character" w:styleId="Wyrnieniedelikatne">
    <w:name w:val="Subtle Emphasis"/>
    <w:basedOn w:val="Domylnaczcionkaakapitu"/>
    <w:uiPriority w:val="19"/>
    <w:qFormat/>
    <w:rsid w:val="00703015"/>
    <w:rPr>
      <w:i/>
      <w:iCs/>
      <w:color w:val="404040" w:themeColor="text1" w:themeTint="BF"/>
    </w:rPr>
  </w:style>
  <w:style w:type="character" w:styleId="Uwydatnienie">
    <w:name w:val="Emphasis"/>
    <w:basedOn w:val="Domylnaczcionkaakapitu"/>
    <w:uiPriority w:val="20"/>
    <w:qFormat/>
    <w:rsid w:val="00703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79269">
      <w:bodyDiv w:val="1"/>
      <w:marLeft w:val="0"/>
      <w:marRight w:val="0"/>
      <w:marTop w:val="0"/>
      <w:marBottom w:val="0"/>
      <w:divBdr>
        <w:top w:val="none" w:sz="0" w:space="0" w:color="auto"/>
        <w:left w:val="none" w:sz="0" w:space="0" w:color="auto"/>
        <w:bottom w:val="none" w:sz="0" w:space="0" w:color="auto"/>
        <w:right w:val="none" w:sz="0" w:space="0" w:color="auto"/>
      </w:divBdr>
    </w:div>
    <w:div w:id="1553804926">
      <w:bodyDiv w:val="1"/>
      <w:marLeft w:val="0"/>
      <w:marRight w:val="0"/>
      <w:marTop w:val="0"/>
      <w:marBottom w:val="0"/>
      <w:divBdr>
        <w:top w:val="none" w:sz="0" w:space="0" w:color="auto"/>
        <w:left w:val="none" w:sz="0" w:space="0" w:color="auto"/>
        <w:bottom w:val="none" w:sz="0" w:space="0" w:color="auto"/>
        <w:right w:val="none" w:sz="0" w:space="0" w:color="auto"/>
      </w:divBdr>
    </w:div>
    <w:div w:id="203341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4491-74E2-474E-A25C-3B4A492B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21</Pages>
  <Words>5858</Words>
  <Characters>35149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Katlogi wydatków w ramach FEP 2021-2027</vt:lpstr>
    </vt:vector>
  </TitlesOfParts>
  <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Katlogi wydatków w ramach FEP 2021-2027</dc:title>
  <dc:subject/>
  <dc:creator>Katarzyna Dobrowolska</dc:creator>
  <dc:description/>
  <cp:lastModifiedBy>Dobrowolska Katarzyna</cp:lastModifiedBy>
  <cp:revision>21</cp:revision>
  <cp:lastPrinted>2023-03-14T12:21:00Z</cp:lastPrinted>
  <dcterms:created xsi:type="dcterms:W3CDTF">2023-02-21T08:29:00Z</dcterms:created>
  <dcterms:modified xsi:type="dcterms:W3CDTF">2023-03-20T13:22:00Z</dcterms:modified>
</cp:coreProperties>
</file>