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7F2" w14:textId="1FC51C27" w:rsidR="006229D7" w:rsidRPr="000D2CEC" w:rsidRDefault="00556A8D" w:rsidP="009E0D4A">
      <w:pPr>
        <w:pStyle w:val="Nagwek1"/>
        <w:spacing w:after="1920"/>
        <w:jc w:val="right"/>
      </w:pPr>
      <w:r>
        <w:t xml:space="preserve">Załącznik nr </w:t>
      </w:r>
      <w:r w:rsidR="00452E1F">
        <w:t>6</w:t>
      </w:r>
      <w:r w:rsidR="003A603E">
        <w:t xml:space="preserve"> do Regulaminu wyboru projektów</w:t>
      </w:r>
    </w:p>
    <w:p w14:paraId="580A37F7" w14:textId="46895296" w:rsidR="009E0D4A" w:rsidRPr="009E0D4A" w:rsidRDefault="00A00E09" w:rsidP="009E0D4A">
      <w:pPr>
        <w:pStyle w:val="Nagwek2"/>
        <w:spacing w:after="1920"/>
        <w:jc w:val="center"/>
        <w:rPr>
          <w:rFonts w:cs="Arial"/>
          <w:sz w:val="32"/>
          <w:szCs w:val="32"/>
        </w:rPr>
      </w:pPr>
      <w:r w:rsidRPr="009E0D4A">
        <w:rPr>
          <w:sz w:val="32"/>
          <w:szCs w:val="32"/>
        </w:rPr>
        <w:t xml:space="preserve">Lista wskaźników </w:t>
      </w:r>
      <w:r w:rsidR="003A603E" w:rsidRPr="009E0D4A">
        <w:rPr>
          <w:sz w:val="32"/>
          <w:szCs w:val="32"/>
        </w:rPr>
        <w:t>(EFRR)</w:t>
      </w:r>
      <w:r w:rsidR="009E0D4A" w:rsidRPr="009E0D4A">
        <w:rPr>
          <w:sz w:val="32"/>
          <w:szCs w:val="32"/>
        </w:rPr>
        <w:br/>
      </w:r>
      <w:r w:rsidR="003A603E">
        <w:rPr>
          <w:rFonts w:cs="Arial"/>
          <w:bCs/>
          <w:sz w:val="32"/>
          <w:szCs w:val="32"/>
        </w:rPr>
        <w:t>P</w:t>
      </w:r>
      <w:r w:rsidR="00097FED" w:rsidRPr="00097FED">
        <w:rPr>
          <w:rFonts w:cs="Arial"/>
          <w:bCs/>
          <w:sz w:val="32"/>
          <w:szCs w:val="32"/>
        </w:rPr>
        <w:t xml:space="preserve">riorytet </w:t>
      </w:r>
      <w:r w:rsidR="00097FED">
        <w:rPr>
          <w:rFonts w:cs="Arial"/>
          <w:bCs/>
          <w:sz w:val="32"/>
          <w:szCs w:val="32"/>
        </w:rPr>
        <w:t>FEPK</w:t>
      </w:r>
      <w:r w:rsidR="00097FED" w:rsidRPr="00097FED">
        <w:rPr>
          <w:rFonts w:cs="Arial"/>
          <w:bCs/>
          <w:sz w:val="32"/>
          <w:szCs w:val="32"/>
        </w:rPr>
        <w:t xml:space="preserve">.05 </w:t>
      </w:r>
      <w:r w:rsidR="00097FED">
        <w:rPr>
          <w:rFonts w:cs="Arial"/>
          <w:bCs/>
          <w:sz w:val="32"/>
          <w:szCs w:val="32"/>
        </w:rPr>
        <w:t>P</w:t>
      </w:r>
      <w:r w:rsidR="00097FED" w:rsidRPr="00097FED">
        <w:rPr>
          <w:rFonts w:cs="Arial"/>
          <w:bCs/>
          <w:sz w:val="32"/>
          <w:szCs w:val="32"/>
        </w:rPr>
        <w:t>rzyjazna przestrzeń społeczna</w:t>
      </w:r>
      <w:r w:rsidR="009E0D4A">
        <w:rPr>
          <w:rFonts w:cs="Arial"/>
          <w:bCs/>
          <w:sz w:val="32"/>
          <w:szCs w:val="32"/>
        </w:rPr>
        <w:br/>
      </w:r>
      <w:r w:rsidR="00097FED" w:rsidRPr="00097FED">
        <w:rPr>
          <w:rFonts w:cs="Arial"/>
          <w:bCs/>
          <w:sz w:val="32"/>
          <w:szCs w:val="32"/>
        </w:rPr>
        <w:t xml:space="preserve">działanie </w:t>
      </w:r>
      <w:r w:rsidR="00371D34" w:rsidRPr="00371D34">
        <w:rPr>
          <w:rFonts w:cs="Arial"/>
          <w:bCs/>
          <w:sz w:val="32"/>
          <w:szCs w:val="32"/>
        </w:rPr>
        <w:t>FEPK.05.0</w:t>
      </w:r>
      <w:r w:rsidR="008D2F50">
        <w:rPr>
          <w:rFonts w:cs="Arial"/>
          <w:bCs/>
          <w:sz w:val="32"/>
          <w:szCs w:val="32"/>
        </w:rPr>
        <w:t>1</w:t>
      </w:r>
      <w:r w:rsidR="00371D34" w:rsidRPr="00371D34">
        <w:rPr>
          <w:rFonts w:cs="Arial"/>
          <w:bCs/>
          <w:sz w:val="32"/>
          <w:szCs w:val="32"/>
        </w:rPr>
        <w:t xml:space="preserve"> </w:t>
      </w:r>
      <w:r w:rsidR="008D2F50">
        <w:rPr>
          <w:rFonts w:cs="Arial"/>
          <w:bCs/>
          <w:sz w:val="32"/>
          <w:szCs w:val="32"/>
        </w:rPr>
        <w:t>Edukacja</w:t>
      </w:r>
      <w:r w:rsidRPr="00C31693">
        <w:rPr>
          <w:rFonts w:cs="Arial"/>
          <w:bCs/>
          <w:sz w:val="32"/>
          <w:szCs w:val="32"/>
        </w:rPr>
        <w:t xml:space="preserve"> </w:t>
      </w:r>
      <w:r w:rsidR="009E0D4A">
        <w:rPr>
          <w:rFonts w:cs="Arial"/>
          <w:bCs/>
          <w:sz w:val="32"/>
          <w:szCs w:val="32"/>
        </w:rPr>
        <w:br/>
      </w:r>
      <w:r w:rsidR="00097FED">
        <w:rPr>
          <w:rFonts w:cs="Arial"/>
          <w:sz w:val="32"/>
          <w:szCs w:val="32"/>
        </w:rPr>
        <w:t>P</w:t>
      </w:r>
      <w:r w:rsidR="00097FED" w:rsidRPr="00097FED">
        <w:rPr>
          <w:rFonts w:cs="Arial"/>
          <w:sz w:val="32"/>
          <w:szCs w:val="32"/>
        </w:rPr>
        <w:t>rog</w:t>
      </w:r>
      <w:r w:rsidR="00097FED">
        <w:rPr>
          <w:rFonts w:cs="Arial"/>
          <w:sz w:val="32"/>
          <w:szCs w:val="32"/>
        </w:rPr>
        <w:t>r</w:t>
      </w:r>
      <w:r w:rsidR="00097FED" w:rsidRPr="00097FED">
        <w:rPr>
          <w:rFonts w:cs="Arial"/>
          <w:sz w:val="32"/>
          <w:szCs w:val="32"/>
        </w:rPr>
        <w:t xml:space="preserve">amu </w:t>
      </w:r>
      <w:r w:rsidR="00097FED">
        <w:rPr>
          <w:rFonts w:cs="Arial"/>
          <w:sz w:val="32"/>
          <w:szCs w:val="32"/>
        </w:rPr>
        <w:t>R</w:t>
      </w:r>
      <w:r w:rsidR="00097FED" w:rsidRPr="00097FED">
        <w:rPr>
          <w:rFonts w:cs="Arial"/>
          <w:sz w:val="32"/>
          <w:szCs w:val="32"/>
        </w:rPr>
        <w:t xml:space="preserve">egionalnego </w:t>
      </w:r>
      <w:r w:rsidR="00097FED">
        <w:rPr>
          <w:rFonts w:cs="Arial"/>
          <w:sz w:val="32"/>
          <w:szCs w:val="32"/>
        </w:rPr>
        <w:t>F</w:t>
      </w:r>
      <w:r w:rsidR="00097FED" w:rsidRPr="00097FED">
        <w:rPr>
          <w:rFonts w:cs="Arial"/>
          <w:sz w:val="32"/>
          <w:szCs w:val="32"/>
        </w:rPr>
        <w:t xml:space="preserve">undusze </w:t>
      </w:r>
      <w:r w:rsidR="00097FED">
        <w:rPr>
          <w:rFonts w:cs="Arial"/>
          <w:sz w:val="32"/>
          <w:szCs w:val="32"/>
        </w:rPr>
        <w:t>E</w:t>
      </w:r>
      <w:r w:rsidR="00097FED" w:rsidRPr="00097FED">
        <w:rPr>
          <w:rFonts w:cs="Arial"/>
          <w:sz w:val="32"/>
          <w:szCs w:val="32"/>
        </w:rPr>
        <w:t xml:space="preserve">uropejskie dla </w:t>
      </w:r>
      <w:r w:rsidR="00097FED">
        <w:rPr>
          <w:rFonts w:cs="Arial"/>
          <w:sz w:val="32"/>
          <w:szCs w:val="32"/>
        </w:rPr>
        <w:t>P</w:t>
      </w:r>
      <w:r w:rsidR="00097FED" w:rsidRPr="00097FED">
        <w:rPr>
          <w:rFonts w:cs="Arial"/>
          <w:sz w:val="32"/>
          <w:szCs w:val="32"/>
        </w:rPr>
        <w:t>odkarpacia 2021-2027</w:t>
      </w:r>
      <w:r w:rsidR="009E0D4A">
        <w:rPr>
          <w:rFonts w:cs="Arial"/>
          <w:sz w:val="32"/>
          <w:szCs w:val="32"/>
        </w:rPr>
        <w:br w:type="page"/>
      </w:r>
    </w:p>
    <w:p w14:paraId="715C0C3F" w14:textId="3DBDAF7A" w:rsidR="00FB5F2B" w:rsidRPr="009A6E89" w:rsidRDefault="00D70932" w:rsidP="009E0D4A">
      <w:pPr>
        <w:pStyle w:val="Nagwek3"/>
        <w:numPr>
          <w:ilvl w:val="0"/>
          <w:numId w:val="20"/>
        </w:numPr>
      </w:pPr>
      <w:r w:rsidRPr="009A6E89">
        <w:lastRenderedPageBreak/>
        <w:t>Wskaźniki produktu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skaźniki produktu"/>
        <w:tblDescription w:val="Tabela zawiera wskaźniki produktu."/>
      </w:tblPr>
      <w:tblGrid>
        <w:gridCol w:w="824"/>
        <w:gridCol w:w="3282"/>
        <w:gridCol w:w="1418"/>
        <w:gridCol w:w="7654"/>
      </w:tblGrid>
      <w:tr w:rsidR="00401CB5" w:rsidRPr="000D2CEC" w14:paraId="419230AF" w14:textId="77777777" w:rsidTr="001C597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928" w14:textId="77777777" w:rsidR="00401CB5" w:rsidRPr="000D2CEC" w:rsidRDefault="00401CB5">
            <w:pPr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8E0" w14:textId="77777777" w:rsidR="00401CB5" w:rsidRPr="000D2CEC" w:rsidRDefault="00401CB5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16A" w14:textId="77777777" w:rsidR="00401CB5" w:rsidRPr="000D2CEC" w:rsidRDefault="00401C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9C3" w14:textId="77777777" w:rsidR="00401CB5" w:rsidRPr="000D2CEC" w:rsidRDefault="00401CB5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8D2F50" w:rsidRPr="000D2CEC" w14:paraId="3071B80D" w14:textId="77777777" w:rsidTr="001C597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649F" w14:textId="012D4F35" w:rsidR="008D2F50" w:rsidRPr="008D2F50" w:rsidRDefault="008D2F50" w:rsidP="00C94292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D55" w14:textId="41AB5AC8" w:rsidR="008D2F50" w:rsidRPr="000D2CEC" w:rsidRDefault="00C94292" w:rsidP="00C94292">
            <w:pPr>
              <w:rPr>
                <w:rFonts w:ascii="Arial" w:hAnsi="Arial" w:cs="Arial"/>
              </w:rPr>
            </w:pPr>
            <w:r w:rsidRPr="00C94292">
              <w:rPr>
                <w:rFonts w:ascii="Arial" w:hAnsi="Arial" w:cs="Arial"/>
              </w:rPr>
              <w:t>Liczba doposażonych przedszkoli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69FD" w14:textId="1C0E35CD" w:rsidR="008D2F50" w:rsidRPr="000D2CEC" w:rsidRDefault="00C94292" w:rsidP="00C942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94292"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D05" w14:textId="5383317C" w:rsidR="008D2F50" w:rsidRPr="000D2CEC" w:rsidRDefault="00C94292" w:rsidP="00C94292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outlineLvl w:val="2"/>
              <w:rPr>
                <w:rFonts w:ascii="Arial" w:hAnsi="Arial" w:cs="Arial"/>
              </w:rPr>
            </w:pPr>
            <w:r w:rsidRPr="00C94292">
              <w:rPr>
                <w:rFonts w:ascii="Arial" w:hAnsi="Arial" w:cs="Arial"/>
              </w:rPr>
              <w:t>Wskaźnik obejmuje liczbę przedszkoli, które otrzymały wsparcie na doposażenie infrastruktury służącej prowadzeniu działalności edukacyjnej. Wskaźnikiem objęte są wszy</w:t>
            </w:r>
            <w:r>
              <w:rPr>
                <w:rFonts w:ascii="Arial" w:hAnsi="Arial" w:cs="Arial"/>
              </w:rPr>
              <w:t>s</w:t>
            </w:r>
            <w:r w:rsidRPr="00C94292">
              <w:rPr>
                <w:rFonts w:ascii="Arial" w:hAnsi="Arial" w:cs="Arial"/>
              </w:rPr>
              <w:t xml:space="preserve">tkie rodzaje przedszkoli, w tym również: specjalne, integracyjne, z oddziałami specjalnymi lub integracyjnymi, </w:t>
            </w:r>
            <w:r w:rsidR="00443B14">
              <w:rPr>
                <w:rFonts w:ascii="Arial" w:hAnsi="Arial" w:cs="Arial"/>
              </w:rPr>
              <w:br/>
            </w:r>
            <w:r w:rsidRPr="00C94292">
              <w:rPr>
                <w:rFonts w:ascii="Arial" w:hAnsi="Arial" w:cs="Arial"/>
              </w:rPr>
              <w:t>a</w:t>
            </w:r>
            <w:r w:rsidR="00FA48EE">
              <w:rPr>
                <w:rFonts w:ascii="Arial" w:hAnsi="Arial" w:cs="Arial"/>
              </w:rPr>
              <w:t xml:space="preserve"> </w:t>
            </w:r>
            <w:r w:rsidRPr="00C94292">
              <w:rPr>
                <w:rFonts w:ascii="Arial" w:hAnsi="Arial" w:cs="Arial"/>
              </w:rPr>
              <w:t>także inne formy wychowania przedszkolnego. W przypadku gdy wsparciem objęte są zarówno przedszkole jak i jego filie, do wartości wskaźnika wliczana jest jedynie pojedyncza wartość.</w:t>
            </w:r>
          </w:p>
        </w:tc>
      </w:tr>
      <w:tr w:rsidR="008D2F50" w:rsidRPr="000D2CEC" w14:paraId="601A6EAF" w14:textId="77777777" w:rsidTr="001C597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3437" w14:textId="37A7EA72" w:rsidR="008D2F50" w:rsidRPr="00C94292" w:rsidRDefault="008D2F50" w:rsidP="00C9429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166B" w14:textId="67665A5A" w:rsidR="008D2F50" w:rsidRPr="000D2CEC" w:rsidRDefault="00C94292" w:rsidP="00C94292">
            <w:pPr>
              <w:rPr>
                <w:rFonts w:ascii="Arial" w:hAnsi="Arial" w:cs="Arial"/>
              </w:rPr>
            </w:pPr>
            <w:r w:rsidRPr="00C94292">
              <w:rPr>
                <w:rFonts w:ascii="Arial" w:hAnsi="Arial" w:cs="Arial"/>
              </w:rPr>
              <w:t>Liczba doposażonych szkół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EB0E" w14:textId="3A9DE83F" w:rsidR="008D2F50" w:rsidRPr="000D2CEC" w:rsidRDefault="00C94292" w:rsidP="00C942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94292"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5F1" w14:textId="6B0E4B8B" w:rsidR="008D2F50" w:rsidRPr="000D2CEC" w:rsidRDefault="00C94292" w:rsidP="00C94292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outlineLvl w:val="2"/>
              <w:rPr>
                <w:rFonts w:ascii="Arial" w:hAnsi="Arial" w:cs="Arial"/>
              </w:rPr>
            </w:pPr>
            <w:r w:rsidRPr="00C94292">
              <w:rPr>
                <w:rFonts w:ascii="Arial" w:hAnsi="Arial" w:cs="Arial"/>
              </w:rPr>
              <w:t>Wskaźnik obejmuje liczbę szkół, które otrzymały wsparcie na doposażenie infrastruktury służącej prowadzeniu działalności edukacyjnej.</w:t>
            </w:r>
            <w:r>
              <w:rPr>
                <w:rFonts w:ascii="Arial" w:hAnsi="Arial" w:cs="Arial"/>
              </w:rPr>
              <w:t xml:space="preserve"> </w:t>
            </w:r>
            <w:r w:rsidRPr="00C94292">
              <w:rPr>
                <w:rFonts w:ascii="Arial" w:hAnsi="Arial" w:cs="Arial"/>
              </w:rPr>
              <w:t>Do wartości wskaźnika wliczane są także projekty na rzecz oddziałów przedszkolnych funkcjonujących przy szkołach.</w:t>
            </w:r>
            <w:r>
              <w:rPr>
                <w:rFonts w:ascii="Arial" w:hAnsi="Arial" w:cs="Arial"/>
              </w:rPr>
              <w:t xml:space="preserve"> </w:t>
            </w:r>
            <w:r w:rsidRPr="00C94292">
              <w:rPr>
                <w:rFonts w:ascii="Arial" w:hAnsi="Arial" w:cs="Arial"/>
              </w:rPr>
              <w:t>Szkołę</w:t>
            </w:r>
            <w:r>
              <w:rPr>
                <w:rFonts w:ascii="Arial" w:hAnsi="Arial" w:cs="Arial"/>
              </w:rPr>
              <w:t xml:space="preserve"> </w:t>
            </w:r>
            <w:r w:rsidRPr="00C94292">
              <w:rPr>
                <w:rFonts w:ascii="Arial" w:hAnsi="Arial" w:cs="Arial"/>
              </w:rPr>
              <w:t xml:space="preserve">należy rozumieć zgodnie z zgodnie </w:t>
            </w:r>
            <w:r w:rsidR="00443B14">
              <w:rPr>
                <w:rFonts w:ascii="Arial" w:hAnsi="Arial" w:cs="Arial"/>
              </w:rPr>
              <w:br/>
            </w:r>
            <w:r w:rsidRPr="00C94292">
              <w:rPr>
                <w:rFonts w:ascii="Arial" w:hAnsi="Arial" w:cs="Arial"/>
              </w:rPr>
              <w:t>z ustawą z dnia 14 grudnia 2016 r. Prawo oświatowe ( z wyłączeniem przedszkoli). W przypadku gdy wsparciem objęte są zarówno szkoła jak i jej filie, do wartości wskaźnika wliczana jest jedynie pojedyncza wartość.</w:t>
            </w:r>
          </w:p>
        </w:tc>
      </w:tr>
      <w:tr w:rsidR="008D2F50" w:rsidRPr="000D2CEC" w14:paraId="00BFD2F1" w14:textId="77777777" w:rsidTr="001C597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8BCD" w14:textId="6454DEB8" w:rsidR="008D2F50" w:rsidRPr="00C94292" w:rsidRDefault="00C94292" w:rsidP="00C9429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5C7" w14:textId="4F32B569" w:rsidR="008D2F50" w:rsidRPr="000D2CEC" w:rsidRDefault="00C94292" w:rsidP="00C94292">
            <w:pPr>
              <w:rPr>
                <w:rFonts w:ascii="Arial" w:hAnsi="Arial" w:cs="Arial"/>
              </w:rPr>
            </w:pPr>
            <w:r w:rsidRPr="00C94292">
              <w:rPr>
                <w:rFonts w:ascii="Arial" w:hAnsi="Arial" w:cs="Arial"/>
              </w:rPr>
              <w:t>Liczba doposażonych uczelni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4FA7" w14:textId="580A7B7B" w:rsidR="008D2F50" w:rsidRPr="000D2CEC" w:rsidRDefault="00C94292" w:rsidP="00C942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94292"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187" w14:textId="4E81C608" w:rsidR="008D2F50" w:rsidRPr="000D2CEC" w:rsidRDefault="00C94292" w:rsidP="00C94292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outlineLvl w:val="2"/>
              <w:rPr>
                <w:rFonts w:ascii="Arial" w:hAnsi="Arial" w:cs="Arial"/>
              </w:rPr>
            </w:pPr>
            <w:r w:rsidRPr="00C94292">
              <w:rPr>
                <w:rFonts w:ascii="Arial" w:hAnsi="Arial" w:cs="Arial"/>
              </w:rPr>
              <w:t xml:space="preserve">Wskaźnik mierzy liczbę uczelni, które otrzymały wsparcie na doposażenie </w:t>
            </w:r>
            <w:r w:rsidR="00443B14">
              <w:rPr>
                <w:rFonts w:ascii="Arial" w:hAnsi="Arial" w:cs="Arial"/>
              </w:rPr>
              <w:br/>
            </w:r>
            <w:r w:rsidRPr="00C94292">
              <w:rPr>
                <w:rFonts w:ascii="Arial" w:hAnsi="Arial" w:cs="Arial"/>
              </w:rPr>
              <w:t xml:space="preserve">w wyniku realizacji projektu. Przez infrastrukturę uczelni należy rozumieć budynki służące celom dydaktycznym i naukowym, laboratoria badawcze </w:t>
            </w:r>
            <w:r w:rsidR="00443B14">
              <w:rPr>
                <w:rFonts w:ascii="Arial" w:hAnsi="Arial" w:cs="Arial"/>
              </w:rPr>
              <w:br/>
            </w:r>
            <w:r w:rsidRPr="00C94292">
              <w:rPr>
                <w:rFonts w:ascii="Arial" w:hAnsi="Arial" w:cs="Arial"/>
              </w:rPr>
              <w:t xml:space="preserve">i dydaktyczne, sale, aule, pracownie specjalistyczne, w tym komputerowe </w:t>
            </w:r>
            <w:r w:rsidR="00443B14">
              <w:rPr>
                <w:rFonts w:ascii="Arial" w:hAnsi="Arial" w:cs="Arial"/>
              </w:rPr>
              <w:br/>
            </w:r>
            <w:r w:rsidRPr="00C94292">
              <w:rPr>
                <w:rFonts w:ascii="Arial" w:hAnsi="Arial" w:cs="Arial"/>
              </w:rPr>
              <w:t xml:space="preserve">a także infrastrukturę sportową oraz obiekty infrastruktury społeczno-edukacyjnej (np.: bursy, internaty, stołówki, domy studenckie). Wskaźnik obejmuje uczelnie publiczne i niepubliczne. Definicja uczelni zgodna </w:t>
            </w:r>
            <w:r w:rsidR="00443B14">
              <w:rPr>
                <w:rFonts w:ascii="Arial" w:hAnsi="Arial" w:cs="Arial"/>
              </w:rPr>
              <w:br/>
            </w:r>
            <w:r w:rsidRPr="00C94292">
              <w:rPr>
                <w:rFonts w:ascii="Arial" w:hAnsi="Arial" w:cs="Arial"/>
              </w:rPr>
              <w:t>z ustawą z 20 lipca 2018 r. o szkolnictwie wyższym i nauce.</w:t>
            </w:r>
          </w:p>
        </w:tc>
      </w:tr>
      <w:tr w:rsidR="00401CB5" w:rsidRPr="000D2CEC" w14:paraId="3C5D28E1" w14:textId="77777777" w:rsidTr="001C5979">
        <w:trPr>
          <w:trHeight w:val="464"/>
          <w:jc w:val="center"/>
        </w:trPr>
        <w:tc>
          <w:tcPr>
            <w:tcW w:w="824" w:type="dxa"/>
            <w:vAlign w:val="center"/>
          </w:tcPr>
          <w:p w14:paraId="26A53D2B" w14:textId="1E04F687" w:rsidR="00401CB5" w:rsidRPr="00444837" w:rsidRDefault="00401CB5" w:rsidP="004448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03D06AA7" w14:textId="7AE7BD18" w:rsidR="00371D34" w:rsidRPr="00236A57" w:rsidRDefault="00444837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837">
              <w:rPr>
                <w:rFonts w:ascii="Arial" w:hAnsi="Arial" w:cs="Arial"/>
                <w:bCs/>
              </w:rPr>
              <w:t>Liczba obiektów dostosowanych do potrzeb osób z niepełnosprawnościami (EFRR/FST/FS)</w:t>
            </w:r>
          </w:p>
        </w:tc>
        <w:tc>
          <w:tcPr>
            <w:tcW w:w="1418" w:type="dxa"/>
            <w:vAlign w:val="center"/>
          </w:tcPr>
          <w:p w14:paraId="6D983386" w14:textId="77777777" w:rsidR="00401CB5" w:rsidRPr="000D2CEC" w:rsidRDefault="00401CB5" w:rsidP="001D1CE2">
            <w:pPr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vAlign w:val="center"/>
          </w:tcPr>
          <w:p w14:paraId="55BC8593" w14:textId="639709CE" w:rsidR="00401CB5" w:rsidRPr="00371D34" w:rsidRDefault="00444837" w:rsidP="00444837">
            <w:pPr>
              <w:rPr>
                <w:rFonts w:ascii="Arial" w:hAnsi="Arial" w:cs="Arial"/>
                <w:kern w:val="3"/>
                <w:lang w:eastAsia="zh-CN"/>
              </w:rPr>
            </w:pPr>
            <w:r w:rsidRPr="00444837">
              <w:rPr>
                <w:rFonts w:ascii="Arial" w:hAnsi="Arial" w:cs="Arial"/>
                <w:kern w:val="3"/>
                <w:lang w:eastAsia="zh-CN"/>
              </w:rPr>
              <w:t xml:space="preserve"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Jako obiekty należy rozumieć konstrukcje połączone </w:t>
            </w:r>
            <w:r w:rsidR="00443B14">
              <w:rPr>
                <w:rFonts w:ascii="Arial" w:hAnsi="Arial" w:cs="Arial"/>
                <w:kern w:val="3"/>
                <w:lang w:eastAsia="zh-CN"/>
              </w:rPr>
              <w:br/>
            </w:r>
            <w:r w:rsidRPr="00444837">
              <w:rPr>
                <w:rFonts w:ascii="Arial" w:hAnsi="Arial" w:cs="Arial"/>
                <w:kern w:val="3"/>
                <w:lang w:eastAsia="zh-CN"/>
              </w:rPr>
              <w:t>z gruntem w sposób trwały, wykonane z materiałów budowlanych i elementów składowych, będące wynikiem prac budowlanych (wg. def. PKOB). Należy podać liczbę obiektów, a nie sprzętów, urządzeń itp., w które obiekty zaopatrzono. Jeśli instytucja, zakład itp. składa się z kilku obiektów, należy zliczyć wszystkie, które dostosowano do potrzeb osób z niepełnosprawnościami.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444837">
              <w:rPr>
                <w:rFonts w:ascii="Arial" w:hAnsi="Arial" w:cs="Arial"/>
                <w:kern w:val="3"/>
                <w:lang w:eastAsia="zh-CN"/>
              </w:rPr>
              <w:t>Wskaźnik mierzony w momencie rozliczenia wydatku związanego z wyposażeniem obiektów w rozwiązania służące osobom z niepełnosprawnościami w ramach danego projektu.</w:t>
            </w:r>
          </w:p>
        </w:tc>
      </w:tr>
      <w:tr w:rsidR="00401CB5" w:rsidRPr="000D2CEC" w14:paraId="1F09D815" w14:textId="77777777" w:rsidTr="001C5979">
        <w:trPr>
          <w:trHeight w:val="232"/>
          <w:jc w:val="center"/>
        </w:trPr>
        <w:tc>
          <w:tcPr>
            <w:tcW w:w="824" w:type="dxa"/>
            <w:vAlign w:val="center"/>
          </w:tcPr>
          <w:p w14:paraId="5CF60D5D" w14:textId="3472D8F1" w:rsidR="00401CB5" w:rsidRPr="00444837" w:rsidRDefault="00401CB5" w:rsidP="004448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565C4A70" w14:textId="27466366" w:rsidR="00371D34" w:rsidRPr="00BA2F5A" w:rsidRDefault="00444837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444837">
              <w:rPr>
                <w:rFonts w:ascii="Arial" w:hAnsi="Arial" w:cs="Arial"/>
                <w:bCs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418" w:type="dxa"/>
            <w:vAlign w:val="center"/>
          </w:tcPr>
          <w:p w14:paraId="2DA09B62" w14:textId="77777777" w:rsidR="00401CB5" w:rsidRPr="000D2CEC" w:rsidRDefault="00401CB5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vAlign w:val="center"/>
          </w:tcPr>
          <w:p w14:paraId="10516E87" w14:textId="725D5215" w:rsidR="00401CB5" w:rsidRPr="00A94D41" w:rsidRDefault="00444837" w:rsidP="00444837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44837">
              <w:rPr>
                <w:rFonts w:ascii="Arial" w:hAnsi="Arial" w:cs="Arial"/>
              </w:rPr>
              <w:t xml:space="preserve">acjonalne usprawnienie oznacza konieczne i odpowiednie zmiany oraz dostosowania, nie nakładające nieproporcjonalnego lub nadmiernego obciążenia, rozpatrywane osobno dla każdego konkretnego przypadku, </w:t>
            </w:r>
            <w:r w:rsidR="00443B14">
              <w:rPr>
                <w:rFonts w:ascii="Arial" w:hAnsi="Arial" w:cs="Arial"/>
              </w:rPr>
              <w:br/>
            </w:r>
            <w:r w:rsidRPr="00444837">
              <w:rPr>
                <w:rFonts w:ascii="Arial" w:hAnsi="Arial" w:cs="Arial"/>
              </w:rPr>
              <w:t xml:space="preserve">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usprawnień, jak i dedykowane (zgodnie z kategoryzacją projektów </w:t>
            </w:r>
            <w:r w:rsidR="00443B14">
              <w:rPr>
                <w:rFonts w:ascii="Arial" w:hAnsi="Arial" w:cs="Arial"/>
              </w:rPr>
              <w:br/>
            </w:r>
            <w:r w:rsidRPr="00444837">
              <w:rPr>
                <w:rFonts w:ascii="Arial" w:hAnsi="Arial" w:cs="Arial"/>
              </w:rPr>
              <w:t xml:space="preserve">z Wytycznych w zakresie realizacji zasad równościowych w ramach funduszy unijnych na lata 2021-2027). Na poziomie projektu wskaźnik może </w:t>
            </w:r>
            <w:r w:rsidRPr="00444837">
              <w:rPr>
                <w:rFonts w:ascii="Arial" w:hAnsi="Arial" w:cs="Arial"/>
              </w:rPr>
              <w:lastRenderedPageBreak/>
              <w:t xml:space="preserve">przyjmować maksymalną wartość 1 - co oznacza jeden projekt, w którym sfinansowano koszty racjonalnych usprawnień dla osób z niepełnosprawnościami. Liczba sfinansowanych racjonalnych usprawnień, </w:t>
            </w:r>
            <w:r w:rsidR="00443B14">
              <w:rPr>
                <w:rFonts w:ascii="Arial" w:hAnsi="Arial" w:cs="Arial"/>
              </w:rPr>
              <w:br/>
            </w:r>
            <w:r w:rsidRPr="00444837">
              <w:rPr>
                <w:rFonts w:ascii="Arial" w:hAnsi="Arial" w:cs="Arial"/>
              </w:rPr>
              <w:t>w ramach projektu, nie ma znaczenia dla wartości wykazywanej we wskaźniku. Definicja na podstawie: Wytyczne w zakresie realizacji zasad równościowych w ramach funduszy unijnych na lata 2021-2027.</w:t>
            </w:r>
          </w:p>
        </w:tc>
      </w:tr>
      <w:tr w:rsidR="00444837" w:rsidRPr="000D2CEC" w14:paraId="2A5FDCE4" w14:textId="77777777" w:rsidTr="001C5979">
        <w:trPr>
          <w:trHeight w:val="232"/>
          <w:jc w:val="center"/>
        </w:trPr>
        <w:tc>
          <w:tcPr>
            <w:tcW w:w="824" w:type="dxa"/>
            <w:vAlign w:val="center"/>
          </w:tcPr>
          <w:p w14:paraId="4A57F237" w14:textId="77777777" w:rsidR="00444837" w:rsidRPr="00444837" w:rsidRDefault="00444837" w:rsidP="004448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2AF404D1" w14:textId="27C62C23" w:rsidR="00444837" w:rsidRPr="00444837" w:rsidRDefault="00444837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837">
              <w:rPr>
                <w:rFonts w:ascii="Arial" w:hAnsi="Arial" w:cs="Arial"/>
                <w:bCs/>
              </w:rPr>
              <w:t>Liczba przebudowanych lub rozbudowanych przedszkoli</w:t>
            </w:r>
          </w:p>
        </w:tc>
        <w:tc>
          <w:tcPr>
            <w:tcW w:w="1418" w:type="dxa"/>
            <w:vAlign w:val="center"/>
          </w:tcPr>
          <w:p w14:paraId="6E69A1C9" w14:textId="71533038" w:rsidR="00444837" w:rsidRPr="000D2CEC" w:rsidRDefault="00444837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vAlign w:val="center"/>
          </w:tcPr>
          <w:p w14:paraId="65709062" w14:textId="0122F6CE" w:rsidR="00444837" w:rsidRDefault="00444837" w:rsidP="00444837">
            <w:pPr>
              <w:autoSpaceDE w:val="0"/>
              <w:adjustRightInd w:val="0"/>
              <w:rPr>
                <w:rFonts w:ascii="Arial" w:hAnsi="Arial" w:cs="Arial"/>
              </w:rPr>
            </w:pPr>
            <w:r w:rsidRPr="00444837">
              <w:rPr>
                <w:rFonts w:ascii="Arial" w:hAnsi="Arial" w:cs="Arial"/>
              </w:rPr>
              <w:t>Wskaźnik obejmuje liczbę przedszkoli, które zostały przebudowane lub zmodernizowane w wyniku realizacji projektu. Wskaźnik nie obejmuje termomodernizacji, konserwacji i napraw budynków. Wskaźnikiem objęte są wszy</w:t>
            </w:r>
            <w:r>
              <w:rPr>
                <w:rFonts w:ascii="Arial" w:hAnsi="Arial" w:cs="Arial"/>
              </w:rPr>
              <w:t>s</w:t>
            </w:r>
            <w:r w:rsidRPr="00444837">
              <w:rPr>
                <w:rFonts w:ascii="Arial" w:hAnsi="Arial" w:cs="Arial"/>
              </w:rPr>
              <w:t xml:space="preserve">tkie rodzaje przedszkoli, w tym również: specjalne, integracyjne, </w:t>
            </w:r>
            <w:r w:rsidR="00443B14">
              <w:rPr>
                <w:rFonts w:ascii="Arial" w:hAnsi="Arial" w:cs="Arial"/>
              </w:rPr>
              <w:br/>
            </w:r>
            <w:r w:rsidRPr="00444837">
              <w:rPr>
                <w:rFonts w:ascii="Arial" w:hAnsi="Arial" w:cs="Arial"/>
              </w:rPr>
              <w:t>z oddziałami specjalnymi lub integracyjnymi, a</w:t>
            </w:r>
            <w:r>
              <w:rPr>
                <w:rFonts w:ascii="Arial" w:hAnsi="Arial" w:cs="Arial"/>
              </w:rPr>
              <w:t xml:space="preserve"> </w:t>
            </w:r>
            <w:r w:rsidRPr="00444837">
              <w:rPr>
                <w:rFonts w:ascii="Arial" w:hAnsi="Arial" w:cs="Arial"/>
              </w:rPr>
              <w:t>także inne formy wychowania przedszkolnego. W przypadku gdy wsparciem objęte są zarówno przedszkole jak i jego filie, do wartości wskaźnika wliczana jest jedynie pojedyncza wartość.</w:t>
            </w:r>
          </w:p>
        </w:tc>
      </w:tr>
      <w:tr w:rsidR="00444837" w:rsidRPr="000D2CEC" w14:paraId="5DD2C623" w14:textId="77777777" w:rsidTr="001C5979">
        <w:trPr>
          <w:trHeight w:val="232"/>
          <w:jc w:val="center"/>
        </w:trPr>
        <w:tc>
          <w:tcPr>
            <w:tcW w:w="824" w:type="dxa"/>
            <w:vAlign w:val="center"/>
          </w:tcPr>
          <w:p w14:paraId="370DDFAF" w14:textId="77777777" w:rsidR="00444837" w:rsidRPr="00444837" w:rsidRDefault="00444837" w:rsidP="004448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2A4B02A2" w14:textId="7F0A2FF7" w:rsidR="00444837" w:rsidRPr="00444837" w:rsidRDefault="00444837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837">
              <w:rPr>
                <w:rFonts w:ascii="Arial" w:hAnsi="Arial" w:cs="Arial"/>
                <w:bCs/>
              </w:rPr>
              <w:t>Liczba przebudowanych lub rozbudowanych szkół</w:t>
            </w:r>
          </w:p>
        </w:tc>
        <w:tc>
          <w:tcPr>
            <w:tcW w:w="1418" w:type="dxa"/>
            <w:vAlign w:val="center"/>
          </w:tcPr>
          <w:p w14:paraId="1AB0D453" w14:textId="12686FB7" w:rsidR="00444837" w:rsidRDefault="00444837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vAlign w:val="center"/>
          </w:tcPr>
          <w:p w14:paraId="0CCE34F8" w14:textId="3562E406" w:rsidR="00444837" w:rsidRPr="00444837" w:rsidRDefault="00444837" w:rsidP="00444837">
            <w:pPr>
              <w:autoSpaceDE w:val="0"/>
              <w:adjustRightInd w:val="0"/>
              <w:rPr>
                <w:rFonts w:ascii="Arial" w:hAnsi="Arial" w:cs="Arial"/>
              </w:rPr>
            </w:pPr>
            <w:r w:rsidRPr="00444837">
              <w:rPr>
                <w:rFonts w:ascii="Arial" w:hAnsi="Arial" w:cs="Arial"/>
              </w:rPr>
              <w:t>Wskaźnik obejmuje liczbę szkół, które zostały przebudowane lub zmodernizowane w wyniku realizacji projektu. Wskaźnik nie obejmuje termomodernizacji, bieżącej konserwacji i napraw budynków. Do wartości wskaźnika wliczane są także projekty na rzecz oddziałów przedszkolnych funkcjonujących przy szkołach. Szkołę</w:t>
            </w:r>
            <w:r>
              <w:rPr>
                <w:rFonts w:ascii="Arial" w:hAnsi="Arial" w:cs="Arial"/>
              </w:rPr>
              <w:t xml:space="preserve"> </w:t>
            </w:r>
            <w:r w:rsidRPr="00444837">
              <w:rPr>
                <w:rFonts w:ascii="Arial" w:hAnsi="Arial" w:cs="Arial"/>
              </w:rPr>
              <w:t xml:space="preserve">należy rozumieć zgodnie z zgodnie </w:t>
            </w:r>
            <w:r w:rsidR="00443B14">
              <w:rPr>
                <w:rFonts w:ascii="Arial" w:hAnsi="Arial" w:cs="Arial"/>
              </w:rPr>
              <w:br/>
            </w:r>
            <w:r w:rsidRPr="00444837">
              <w:rPr>
                <w:rFonts w:ascii="Arial" w:hAnsi="Arial" w:cs="Arial"/>
              </w:rPr>
              <w:t>z ustawą z dnia 14 grudnia 2016 r. Prawo oświatowe ( z wyłączeniem przedszkoli). W przypadku gdy wsparciem objęte są zarówno szkoła jak i jej filie, do wartości wskaźnika wliczana jest jedynie pojedyncza wartość.</w:t>
            </w:r>
          </w:p>
        </w:tc>
      </w:tr>
      <w:tr w:rsidR="007166D0" w:rsidRPr="000D2CEC" w14:paraId="69A4B148" w14:textId="77777777" w:rsidTr="001C5979">
        <w:trPr>
          <w:trHeight w:val="232"/>
          <w:jc w:val="center"/>
        </w:trPr>
        <w:tc>
          <w:tcPr>
            <w:tcW w:w="824" w:type="dxa"/>
            <w:vAlign w:val="center"/>
          </w:tcPr>
          <w:p w14:paraId="6A237D93" w14:textId="77777777" w:rsidR="007166D0" w:rsidRPr="00444837" w:rsidRDefault="007166D0" w:rsidP="004448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6E955122" w14:textId="0AF2B588" w:rsidR="007166D0" w:rsidRPr="00444837" w:rsidRDefault="007166D0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166D0">
              <w:rPr>
                <w:rFonts w:ascii="Arial" w:hAnsi="Arial" w:cs="Arial"/>
                <w:bCs/>
              </w:rPr>
              <w:t>Liczba wspartych uczelni pod kątem budowy infrastruktury dydaktycznej i naukowej</w:t>
            </w:r>
          </w:p>
        </w:tc>
        <w:tc>
          <w:tcPr>
            <w:tcW w:w="1418" w:type="dxa"/>
            <w:vAlign w:val="center"/>
          </w:tcPr>
          <w:p w14:paraId="7156724B" w14:textId="7A1147CD" w:rsidR="007166D0" w:rsidRDefault="007166D0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vAlign w:val="center"/>
          </w:tcPr>
          <w:p w14:paraId="1C6BABA6" w14:textId="2DD293F2" w:rsidR="007166D0" w:rsidRPr="00444837" w:rsidRDefault="007166D0" w:rsidP="00444837">
            <w:pPr>
              <w:autoSpaceDE w:val="0"/>
              <w:adjustRightInd w:val="0"/>
              <w:rPr>
                <w:rFonts w:ascii="Arial" w:hAnsi="Arial" w:cs="Arial"/>
              </w:rPr>
            </w:pPr>
            <w:r w:rsidRPr="007166D0">
              <w:rPr>
                <w:rFonts w:ascii="Arial" w:hAnsi="Arial" w:cs="Arial"/>
              </w:rPr>
              <w:t xml:space="preserve">Wskaźnik mierzy liczbę uczelni, które otrzymały wsparcie na budowę </w:t>
            </w:r>
            <w:r w:rsidR="00443B14">
              <w:rPr>
                <w:rFonts w:ascii="Arial" w:hAnsi="Arial" w:cs="Arial"/>
              </w:rPr>
              <w:br/>
            </w:r>
            <w:r w:rsidRPr="007166D0">
              <w:rPr>
                <w:rFonts w:ascii="Arial" w:hAnsi="Arial" w:cs="Arial"/>
              </w:rPr>
              <w:t xml:space="preserve">i rozbudowy infrastruktury w wyniku realizacji projektu. Przez infrastrukturę uczelni należy rozumieć budynki służące celom dydaktycznym i naukowym, laboratoria badawcze i dydaktyczne, sale, aule, pracownie specjalistyczne, w tym komputerowe a także infrastrukturę sportową oraz obiekty infrastruktury społeczno-edukacyjnej (np.: bursy, internaty, stołówki, domy </w:t>
            </w:r>
            <w:r w:rsidRPr="007166D0">
              <w:rPr>
                <w:rFonts w:ascii="Arial" w:hAnsi="Arial" w:cs="Arial"/>
              </w:rPr>
              <w:lastRenderedPageBreak/>
              <w:t>studenckie).</w:t>
            </w:r>
            <w:r>
              <w:rPr>
                <w:rFonts w:ascii="Arial" w:hAnsi="Arial" w:cs="Arial"/>
              </w:rPr>
              <w:t xml:space="preserve"> </w:t>
            </w:r>
            <w:r w:rsidRPr="007166D0">
              <w:rPr>
                <w:rFonts w:ascii="Arial" w:hAnsi="Arial" w:cs="Arial"/>
              </w:rPr>
              <w:t>Wskaźnik obejmuje uczelnie publiczne i niepubliczne. Definicja uczelni zgodna z ustawą z 20 lipca 2018 r. o szkolnictwie wyższym i nauce.</w:t>
            </w:r>
          </w:p>
        </w:tc>
      </w:tr>
      <w:tr w:rsidR="007166D0" w:rsidRPr="000D2CEC" w14:paraId="5269515C" w14:textId="77777777" w:rsidTr="001C5979">
        <w:trPr>
          <w:trHeight w:val="232"/>
          <w:jc w:val="center"/>
        </w:trPr>
        <w:tc>
          <w:tcPr>
            <w:tcW w:w="824" w:type="dxa"/>
            <w:vAlign w:val="center"/>
          </w:tcPr>
          <w:p w14:paraId="5753900A" w14:textId="77777777" w:rsidR="007166D0" w:rsidRPr="00444837" w:rsidRDefault="007166D0" w:rsidP="004448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3BC9AECB" w14:textId="76D53007" w:rsidR="007166D0" w:rsidRPr="007166D0" w:rsidRDefault="007166D0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166D0">
              <w:rPr>
                <w:rFonts w:ascii="Arial" w:hAnsi="Arial" w:cs="Arial"/>
                <w:bCs/>
              </w:rPr>
              <w:t>Liczba wspartych uczelni pod kątem przebudowy i rozbudowy infrastruktury dydaktycznej i naukowej</w:t>
            </w:r>
          </w:p>
        </w:tc>
        <w:tc>
          <w:tcPr>
            <w:tcW w:w="1418" w:type="dxa"/>
            <w:vAlign w:val="center"/>
          </w:tcPr>
          <w:p w14:paraId="43436F72" w14:textId="62218275" w:rsidR="007166D0" w:rsidRDefault="007166D0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vAlign w:val="center"/>
          </w:tcPr>
          <w:p w14:paraId="0D17501E" w14:textId="18F37E5F" w:rsidR="007166D0" w:rsidRPr="007166D0" w:rsidRDefault="007166D0" w:rsidP="00444837">
            <w:pPr>
              <w:autoSpaceDE w:val="0"/>
              <w:adjustRightInd w:val="0"/>
              <w:rPr>
                <w:rFonts w:ascii="Arial" w:hAnsi="Arial" w:cs="Arial"/>
              </w:rPr>
            </w:pPr>
            <w:r w:rsidRPr="007166D0">
              <w:rPr>
                <w:rFonts w:ascii="Arial" w:hAnsi="Arial" w:cs="Arial"/>
              </w:rPr>
              <w:t>Wskaźnik mierzy liczbę uczelni, które otrzymały wsparcie na przebudowę lub modernizację infrastruktury w wyniku realizacji projektu. Przez infrastrukturę uczelni należy rozumieć budynki służące celom dydaktycznym i naukowym, laboratoria badawcze i dydaktyczne, sale, aule, pracownie specjalistyczne, w tym komputerowe a także infrastrukturę sportową oraz obiekty infrastruktury społeczno-edukacyjnej (np.: bursy, internaty, stołówki, domy studenckie). Wskaźnik obejmuje uczelnie publiczne i niepubliczne. Definicja uczelni zgodna z ustawą z 20 lipca 2018 r. o szkolnictwie wyższym i nauce.</w:t>
            </w:r>
          </w:p>
        </w:tc>
      </w:tr>
      <w:tr w:rsidR="007166D0" w:rsidRPr="000D2CEC" w14:paraId="21EDBB2A" w14:textId="77777777" w:rsidTr="001C5979">
        <w:trPr>
          <w:trHeight w:val="232"/>
          <w:jc w:val="center"/>
        </w:trPr>
        <w:tc>
          <w:tcPr>
            <w:tcW w:w="824" w:type="dxa"/>
            <w:vAlign w:val="center"/>
          </w:tcPr>
          <w:p w14:paraId="2AE3A6EF" w14:textId="77777777" w:rsidR="007166D0" w:rsidRPr="00444837" w:rsidRDefault="007166D0" w:rsidP="004448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7A87F450" w14:textId="310E4BD0" w:rsidR="007166D0" w:rsidRPr="007166D0" w:rsidRDefault="007166D0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166D0">
              <w:rPr>
                <w:rFonts w:ascii="Arial" w:hAnsi="Arial" w:cs="Arial"/>
                <w:bCs/>
              </w:rPr>
              <w:t>Liczba wybudowanych przedszkoli</w:t>
            </w:r>
          </w:p>
        </w:tc>
        <w:tc>
          <w:tcPr>
            <w:tcW w:w="1418" w:type="dxa"/>
            <w:vAlign w:val="center"/>
          </w:tcPr>
          <w:p w14:paraId="4CB4AAEE" w14:textId="7269FED7" w:rsidR="007166D0" w:rsidRDefault="007166D0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vAlign w:val="center"/>
          </w:tcPr>
          <w:p w14:paraId="4A0E4EB1" w14:textId="768A4435" w:rsidR="007166D0" w:rsidRPr="007166D0" w:rsidRDefault="007166D0" w:rsidP="00444837">
            <w:pPr>
              <w:autoSpaceDE w:val="0"/>
              <w:adjustRightInd w:val="0"/>
              <w:rPr>
                <w:rFonts w:ascii="Arial" w:hAnsi="Arial" w:cs="Arial"/>
              </w:rPr>
            </w:pPr>
            <w:r w:rsidRPr="007166D0">
              <w:rPr>
                <w:rFonts w:ascii="Arial" w:hAnsi="Arial" w:cs="Arial"/>
              </w:rPr>
              <w:t>Wskaźnik obejmuje liczbę przedszkoli, które zostały wybudowane lub rozbudowane w wyniku realizacji projektu. Wskaźnikiem objęte są wszystkie rodzaje przedszkoli, w tym również: specjalne, integracyjne, z oddziałami specjalnymi lub integracyjnymi, a</w:t>
            </w:r>
            <w:r>
              <w:rPr>
                <w:rFonts w:ascii="Arial" w:hAnsi="Arial" w:cs="Arial"/>
              </w:rPr>
              <w:t xml:space="preserve"> </w:t>
            </w:r>
            <w:r w:rsidRPr="007166D0">
              <w:rPr>
                <w:rFonts w:ascii="Arial" w:hAnsi="Arial" w:cs="Arial"/>
              </w:rPr>
              <w:t>także inne formy wychowania przedszkolnego. W przypadku gdy wsparciem objęte są zarówno przedszkole jak i jego filie, do wartości wskaźnika wliczana jest jedynie pojedyncza wartość.</w:t>
            </w:r>
          </w:p>
        </w:tc>
      </w:tr>
      <w:tr w:rsidR="007166D0" w:rsidRPr="000D2CEC" w14:paraId="2B2A7639" w14:textId="77777777" w:rsidTr="001C5979">
        <w:trPr>
          <w:trHeight w:val="232"/>
          <w:jc w:val="center"/>
        </w:trPr>
        <w:tc>
          <w:tcPr>
            <w:tcW w:w="824" w:type="dxa"/>
            <w:vAlign w:val="center"/>
          </w:tcPr>
          <w:p w14:paraId="10A63DC2" w14:textId="77777777" w:rsidR="007166D0" w:rsidRPr="00444837" w:rsidRDefault="007166D0" w:rsidP="004448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549BE8F5" w14:textId="453351D6" w:rsidR="007166D0" w:rsidRPr="007166D0" w:rsidRDefault="007166D0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166D0">
              <w:rPr>
                <w:rFonts w:ascii="Arial" w:hAnsi="Arial" w:cs="Arial"/>
                <w:bCs/>
              </w:rPr>
              <w:t>Liczba wybudowanych szkół</w:t>
            </w:r>
          </w:p>
        </w:tc>
        <w:tc>
          <w:tcPr>
            <w:tcW w:w="1418" w:type="dxa"/>
            <w:vAlign w:val="center"/>
          </w:tcPr>
          <w:p w14:paraId="7C44E2A8" w14:textId="004E04DB" w:rsidR="007166D0" w:rsidRDefault="007166D0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54" w:type="dxa"/>
            <w:vAlign w:val="center"/>
          </w:tcPr>
          <w:p w14:paraId="79B83732" w14:textId="10B0C1DB" w:rsidR="007166D0" w:rsidRPr="007166D0" w:rsidRDefault="007166D0" w:rsidP="00444837">
            <w:pPr>
              <w:autoSpaceDE w:val="0"/>
              <w:adjustRightInd w:val="0"/>
              <w:rPr>
                <w:rFonts w:ascii="Arial" w:hAnsi="Arial" w:cs="Arial"/>
              </w:rPr>
            </w:pPr>
            <w:r w:rsidRPr="007166D0">
              <w:rPr>
                <w:rFonts w:ascii="Arial" w:hAnsi="Arial" w:cs="Arial"/>
              </w:rPr>
              <w:t>Wskaźnik obejmuje liczbę szkół, które zostały wybudowane lub rozbudowane w wyniku realizacji projektu. Do wartości wskaźnika wliczane są także projekty na rzecz oddziałów przedszkolnych funkcjonujących przy szkołach. Szkołę należy rozumieć zgodnie z zgodnie z ustawą z dnia 14 grudnia 2016 r. Prawo oświatowe (z wyłączeniem przedszkoli). W przypadku gdy wsparciem objęte są zarówno szkoła jak i jej filie, do wartości wskaźnika wliczana jest jedynie pojedyncza wartość.</w:t>
            </w:r>
          </w:p>
        </w:tc>
      </w:tr>
      <w:tr w:rsidR="007166D0" w:rsidRPr="000D2CEC" w14:paraId="5B4A3072" w14:textId="77777777" w:rsidTr="001C5979">
        <w:trPr>
          <w:trHeight w:val="232"/>
          <w:jc w:val="center"/>
        </w:trPr>
        <w:tc>
          <w:tcPr>
            <w:tcW w:w="824" w:type="dxa"/>
            <w:vAlign w:val="center"/>
          </w:tcPr>
          <w:p w14:paraId="550EB7E1" w14:textId="77777777" w:rsidR="007166D0" w:rsidRPr="00444837" w:rsidRDefault="007166D0" w:rsidP="004448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30B1266E" w14:textId="2151AB14" w:rsidR="007166D0" w:rsidRPr="007166D0" w:rsidRDefault="001844D1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44D1">
              <w:rPr>
                <w:rFonts w:ascii="Arial" w:hAnsi="Arial" w:cs="Arial"/>
                <w:bCs/>
              </w:rPr>
              <w:t xml:space="preserve">Pojemność́ </w:t>
            </w:r>
            <w:r w:rsidR="00B4526C">
              <w:rPr>
                <w:rFonts w:ascii="Arial" w:hAnsi="Arial" w:cs="Arial"/>
                <w:bCs/>
              </w:rPr>
              <w:t>klas</w:t>
            </w:r>
            <w:r w:rsidRPr="001844D1">
              <w:rPr>
                <w:rFonts w:ascii="Arial" w:hAnsi="Arial" w:cs="Arial"/>
                <w:bCs/>
              </w:rPr>
              <w:t xml:space="preserve"> w nowych lub zmodernizowanych placówkach opieki nad dziećmi</w:t>
            </w:r>
          </w:p>
        </w:tc>
        <w:tc>
          <w:tcPr>
            <w:tcW w:w="1418" w:type="dxa"/>
            <w:vAlign w:val="center"/>
          </w:tcPr>
          <w:p w14:paraId="171C0ED3" w14:textId="025F1C3E" w:rsidR="007166D0" w:rsidRDefault="001844D1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7654" w:type="dxa"/>
            <w:vAlign w:val="center"/>
          </w:tcPr>
          <w:p w14:paraId="2A71655B" w14:textId="02828116" w:rsidR="007166D0" w:rsidRPr="007166D0" w:rsidRDefault="001844D1" w:rsidP="00444837">
            <w:pPr>
              <w:autoSpaceDE w:val="0"/>
              <w:adjustRightInd w:val="0"/>
              <w:rPr>
                <w:rFonts w:ascii="Arial" w:hAnsi="Arial" w:cs="Arial"/>
              </w:rPr>
            </w:pPr>
            <w:r w:rsidRPr="001844D1">
              <w:rPr>
                <w:rFonts w:ascii="Arial" w:hAnsi="Arial" w:cs="Arial"/>
              </w:rPr>
              <w:t xml:space="preserve">Pojemność klas pod względem maksymalnej liczby miejsc w nowych lub zmodernizowanych placówkach opieki nad dziećmi. Pojemność grup powinna zostać obliczona zgodnie z ustawodawstwem krajowym, ale nie powinna obejmować nauczycieli, rodziców, personelu pomocniczego ani </w:t>
            </w:r>
            <w:r w:rsidRPr="001844D1">
              <w:rPr>
                <w:rFonts w:ascii="Arial" w:hAnsi="Arial" w:cs="Arial"/>
              </w:rPr>
              <w:lastRenderedPageBreak/>
              <w:t>innych osób, które również mogą korzystać z placówek. Placówki opieki nad dziećmi, takie jak żłobki i przedszkola, są przeznaczone dla dzieci od urodzenia do rozpoczęcia kształcenia na poziomie podstawowym. Wskaźnik obejmuje nowo budowane lub zmodernizowane placówki opieki nad dziećmi (np. w celu podniesienia standardów higieny i</w:t>
            </w:r>
            <w:r>
              <w:rPr>
                <w:rFonts w:ascii="Arial" w:hAnsi="Arial" w:cs="Arial"/>
              </w:rPr>
              <w:t xml:space="preserve"> </w:t>
            </w:r>
            <w:r w:rsidRPr="001844D1">
              <w:rPr>
                <w:rFonts w:ascii="Arial" w:hAnsi="Arial" w:cs="Arial"/>
              </w:rPr>
              <w:t xml:space="preserve">bezpieczeństwa), </w:t>
            </w:r>
            <w:r w:rsidR="00443B14">
              <w:rPr>
                <w:rFonts w:ascii="Arial" w:hAnsi="Arial" w:cs="Arial"/>
              </w:rPr>
              <w:br/>
            </w:r>
            <w:r w:rsidRPr="001844D1">
              <w:rPr>
                <w:rFonts w:ascii="Arial" w:hAnsi="Arial" w:cs="Arial"/>
              </w:rPr>
              <w:t>a modernizacja nie obejmuje termomodernizacji ani konserwacji i napraw.</w:t>
            </w:r>
          </w:p>
        </w:tc>
      </w:tr>
      <w:tr w:rsidR="007166D0" w:rsidRPr="000D2CEC" w14:paraId="00CE6B18" w14:textId="77777777" w:rsidTr="001C5979">
        <w:trPr>
          <w:trHeight w:val="232"/>
          <w:jc w:val="center"/>
        </w:trPr>
        <w:tc>
          <w:tcPr>
            <w:tcW w:w="824" w:type="dxa"/>
            <w:vAlign w:val="center"/>
          </w:tcPr>
          <w:p w14:paraId="3B6E66F0" w14:textId="77777777" w:rsidR="007166D0" w:rsidRPr="00444837" w:rsidRDefault="007166D0" w:rsidP="006D06F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  <w:vAlign w:val="center"/>
          </w:tcPr>
          <w:p w14:paraId="156FC601" w14:textId="2B0C92CC" w:rsidR="007166D0" w:rsidRPr="007166D0" w:rsidRDefault="001844D1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44D1">
              <w:rPr>
                <w:rFonts w:ascii="Arial" w:hAnsi="Arial" w:cs="Arial"/>
                <w:bCs/>
              </w:rPr>
              <w:t>Pojemność́ klas w nowych lub zmodernizowanych placówkach oświatowych</w:t>
            </w:r>
          </w:p>
        </w:tc>
        <w:tc>
          <w:tcPr>
            <w:tcW w:w="1418" w:type="dxa"/>
            <w:vAlign w:val="center"/>
          </w:tcPr>
          <w:p w14:paraId="7C0BCC68" w14:textId="0C37CC4E" w:rsidR="007166D0" w:rsidRDefault="001844D1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7654" w:type="dxa"/>
            <w:vAlign w:val="center"/>
          </w:tcPr>
          <w:p w14:paraId="6BADACE3" w14:textId="66DB200D" w:rsidR="007166D0" w:rsidRPr="007166D0" w:rsidRDefault="001844D1" w:rsidP="00444837">
            <w:pPr>
              <w:autoSpaceDE w:val="0"/>
              <w:adjustRightInd w:val="0"/>
              <w:rPr>
                <w:rFonts w:ascii="Arial" w:hAnsi="Arial" w:cs="Arial"/>
              </w:rPr>
            </w:pPr>
            <w:r w:rsidRPr="001844D1">
              <w:rPr>
                <w:rFonts w:ascii="Arial" w:hAnsi="Arial" w:cs="Arial"/>
              </w:rPr>
              <w:t>Pojemność klas pod względem maksymalnej liczby uczniów, którzy mogą się zapisać i korzystać z placówek oświatowych. Pojemność klas powinna być obliczona zgodnie z ustawodawstwem krajowym, ale nie powinna obejmować nauczycieli, rodziców, personelu pomocniczego ani innych osób, które również mogą korzystać z placówek. Placówki oświatowe, takie jak szkoły i uczelnie, mogą być nowo wybudowane lub zmodernizowane. Modernizacja nie obejmuje termomodernizacji ani konserwacji i napraw.</w:t>
            </w:r>
          </w:p>
        </w:tc>
      </w:tr>
    </w:tbl>
    <w:p w14:paraId="0524F6D4" w14:textId="26C2BDF4" w:rsidR="008D2F50" w:rsidRDefault="00D70932" w:rsidP="008D2F50">
      <w:pPr>
        <w:pStyle w:val="Nagwek3"/>
        <w:numPr>
          <w:ilvl w:val="0"/>
          <w:numId w:val="20"/>
        </w:numPr>
      </w:pPr>
      <w:r w:rsidRPr="009A6E89">
        <w:t>Wskaźniki rezultatu</w:t>
      </w:r>
    </w:p>
    <w:tbl>
      <w:tblPr>
        <w:tblStyle w:val="Tabela-Siatka"/>
        <w:tblW w:w="13183" w:type="dxa"/>
        <w:tblInd w:w="704" w:type="dxa"/>
        <w:tblLook w:val="04A0" w:firstRow="1" w:lastRow="0" w:firstColumn="1" w:lastColumn="0" w:noHBand="0" w:noVBand="1"/>
        <w:tblCaption w:val="Wskaźniki rezultatu"/>
        <w:tblDescription w:val="Tabela zawiera wskaźniki rezultatu"/>
      </w:tblPr>
      <w:tblGrid>
        <w:gridCol w:w="851"/>
        <w:gridCol w:w="3132"/>
        <w:gridCol w:w="1769"/>
        <w:gridCol w:w="7431"/>
      </w:tblGrid>
      <w:tr w:rsidR="008D2F50" w:rsidRPr="00FA48EE" w14:paraId="435B4C82" w14:textId="77777777" w:rsidTr="006D06FD">
        <w:trPr>
          <w:trHeight w:val="581"/>
        </w:trPr>
        <w:tc>
          <w:tcPr>
            <w:tcW w:w="851" w:type="dxa"/>
            <w:vAlign w:val="center"/>
          </w:tcPr>
          <w:p w14:paraId="679AAFD0" w14:textId="7AB08222" w:rsidR="008D2F50" w:rsidRPr="00FA48EE" w:rsidRDefault="008D2F50" w:rsidP="00FA48EE">
            <w:pPr>
              <w:rPr>
                <w:rFonts w:ascii="Arial" w:hAnsi="Arial" w:cs="Arial"/>
                <w:b/>
              </w:rPr>
            </w:pPr>
            <w:r w:rsidRPr="00FA48EE">
              <w:rPr>
                <w:rFonts w:ascii="Arial" w:hAnsi="Arial" w:cs="Arial"/>
              </w:rPr>
              <w:t>L.p.</w:t>
            </w:r>
          </w:p>
        </w:tc>
        <w:tc>
          <w:tcPr>
            <w:tcW w:w="3132" w:type="dxa"/>
            <w:vAlign w:val="center"/>
          </w:tcPr>
          <w:p w14:paraId="3457BB78" w14:textId="607D551A" w:rsidR="008D2F50" w:rsidRPr="00FA48EE" w:rsidRDefault="008D2F50" w:rsidP="00FA48EE">
            <w:pPr>
              <w:rPr>
                <w:rFonts w:ascii="Arial" w:hAnsi="Arial" w:cs="Arial"/>
                <w:b/>
              </w:rPr>
            </w:pPr>
            <w:r w:rsidRPr="00FA48EE">
              <w:rPr>
                <w:rFonts w:ascii="Arial" w:hAnsi="Arial" w:cs="Arial"/>
              </w:rPr>
              <w:t>Nazwa wskaźnika</w:t>
            </w:r>
          </w:p>
        </w:tc>
        <w:tc>
          <w:tcPr>
            <w:tcW w:w="1769" w:type="dxa"/>
            <w:vAlign w:val="center"/>
          </w:tcPr>
          <w:p w14:paraId="24BFBC91" w14:textId="4336B5DD" w:rsidR="008D2F50" w:rsidRPr="00FA48EE" w:rsidRDefault="008D2F50" w:rsidP="00FA48EE">
            <w:pPr>
              <w:rPr>
                <w:rFonts w:ascii="Arial" w:hAnsi="Arial" w:cs="Arial"/>
                <w:b/>
              </w:rPr>
            </w:pPr>
            <w:r w:rsidRPr="00FA48EE">
              <w:rPr>
                <w:rFonts w:ascii="Arial" w:hAnsi="Arial" w:cs="Arial"/>
              </w:rPr>
              <w:t>Jednostka miary</w:t>
            </w:r>
          </w:p>
        </w:tc>
        <w:tc>
          <w:tcPr>
            <w:tcW w:w="7431" w:type="dxa"/>
            <w:vAlign w:val="center"/>
          </w:tcPr>
          <w:p w14:paraId="6AB1D593" w14:textId="24EBBCF3" w:rsidR="008D2F50" w:rsidRPr="00FA48EE" w:rsidRDefault="008D2F50" w:rsidP="00FA48EE">
            <w:pPr>
              <w:rPr>
                <w:rFonts w:ascii="Arial" w:hAnsi="Arial" w:cs="Arial"/>
                <w:b/>
              </w:rPr>
            </w:pPr>
            <w:r w:rsidRPr="00FA48EE">
              <w:rPr>
                <w:rFonts w:ascii="Arial" w:hAnsi="Arial" w:cs="Arial"/>
              </w:rPr>
              <w:t>DEFINICJA</w:t>
            </w:r>
          </w:p>
        </w:tc>
      </w:tr>
      <w:tr w:rsidR="008D2F50" w:rsidRPr="00FA48EE" w14:paraId="405B9E96" w14:textId="77777777" w:rsidTr="006D06FD">
        <w:tc>
          <w:tcPr>
            <w:tcW w:w="851" w:type="dxa"/>
            <w:vAlign w:val="center"/>
          </w:tcPr>
          <w:p w14:paraId="2092E47B" w14:textId="72E4F8E7" w:rsidR="008D2F50" w:rsidRPr="006D06FD" w:rsidRDefault="008D2F50" w:rsidP="006D06F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2" w:type="dxa"/>
            <w:vAlign w:val="center"/>
          </w:tcPr>
          <w:p w14:paraId="3E540093" w14:textId="7AFB3FE3" w:rsidR="008D2F50" w:rsidRPr="00FA48EE" w:rsidRDefault="001844D1" w:rsidP="00FA48EE">
            <w:pPr>
              <w:rPr>
                <w:rFonts w:ascii="Arial" w:hAnsi="Arial" w:cs="Arial"/>
                <w:b/>
                <w:bCs/>
              </w:rPr>
            </w:pPr>
            <w:r w:rsidRPr="00FA48EE">
              <w:rPr>
                <w:rFonts w:ascii="Arial" w:hAnsi="Arial" w:cs="Arial"/>
                <w:bCs/>
              </w:rPr>
              <w:t>Roczna liczba użytkowników nowych lub zmodernizowanych placówek opieki nad dziećmi</w:t>
            </w:r>
          </w:p>
        </w:tc>
        <w:tc>
          <w:tcPr>
            <w:tcW w:w="1769" w:type="dxa"/>
            <w:vAlign w:val="center"/>
          </w:tcPr>
          <w:p w14:paraId="37A6E297" w14:textId="73EF2C49" w:rsidR="008D2F50" w:rsidRPr="00FA48EE" w:rsidRDefault="001844D1" w:rsidP="00FA48EE">
            <w:pPr>
              <w:rPr>
                <w:rFonts w:ascii="Arial" w:hAnsi="Arial" w:cs="Arial"/>
                <w:b/>
                <w:bCs/>
              </w:rPr>
            </w:pPr>
            <w:r w:rsidRPr="00FA48EE">
              <w:rPr>
                <w:rFonts w:ascii="Arial" w:hAnsi="Arial" w:cs="Arial"/>
                <w:bCs/>
              </w:rPr>
              <w:t>użytkownicy/rok</w:t>
            </w:r>
          </w:p>
        </w:tc>
        <w:tc>
          <w:tcPr>
            <w:tcW w:w="7431" w:type="dxa"/>
            <w:vAlign w:val="center"/>
          </w:tcPr>
          <w:p w14:paraId="184F96DF" w14:textId="180F0105" w:rsidR="008D2F50" w:rsidRPr="00FA48EE" w:rsidRDefault="001844D1" w:rsidP="00FA48EE">
            <w:pPr>
              <w:rPr>
                <w:rFonts w:ascii="Arial" w:hAnsi="Arial" w:cs="Arial"/>
                <w:b/>
                <w:bCs/>
              </w:rPr>
            </w:pPr>
            <w:r w:rsidRPr="00FA48EE">
              <w:rPr>
                <w:rFonts w:ascii="Arial" w:hAnsi="Arial" w:cs="Arial"/>
                <w:bCs/>
              </w:rPr>
              <w:t xml:space="preserve">Roczna liczba zarejestrowanych dzieci korzystających z placówki opieki nad dziećmi objętej wsparciem. </w:t>
            </w:r>
            <w:r w:rsidRPr="00FA48EE">
              <w:rPr>
                <w:rFonts w:ascii="Arial" w:hAnsi="Arial" w:cs="Arial"/>
                <w:bCs/>
              </w:rPr>
              <w:br/>
              <w:t xml:space="preserve">W odniesieniu do osiągniętych wartości należy przeprowadzić oszacowanie ex post na podstawie liczby i wielkości grup dzieci korzystających z placówki przynajmniej raz w roku następującym po zakończeniu interwencji. Wartość bazowa wskaźnika odnosi się do liczby użytkowników placówki objętej wsparciem oszacowanej dla roku przed rozpoczęciem interwencji i wynosi zero w przypadku nowo budowanych placówek.   Wskaźnik nie obejmuje nauczycieli, rodziców, personelu pomocniczego ani innych osób, które również mogą korzystać z placówki. Placówki opieki nad dziećmi, takie jak żłobki i przedszkola, są przeznaczone dla dzieci od urodzenia do rozpoczęcia kształcenia na poziomie podstawowym. Wskaźnik obejmuje nowo budowane lub </w:t>
            </w:r>
            <w:r w:rsidRPr="00FA48EE">
              <w:rPr>
                <w:rFonts w:ascii="Arial" w:hAnsi="Arial" w:cs="Arial"/>
                <w:bCs/>
              </w:rPr>
              <w:lastRenderedPageBreak/>
              <w:t>zmodernizowane placówki opieki nad dziećmi (np. w celu podniesienia standardów higieny i bezpieczeństwa), a modernizacja nie obejmuje termomodernizacji ani konserwacji i napraw.</w:t>
            </w:r>
          </w:p>
        </w:tc>
      </w:tr>
      <w:tr w:rsidR="001844D1" w:rsidRPr="00FA48EE" w14:paraId="34890248" w14:textId="77777777" w:rsidTr="006D06FD">
        <w:tc>
          <w:tcPr>
            <w:tcW w:w="851" w:type="dxa"/>
            <w:vAlign w:val="center"/>
          </w:tcPr>
          <w:p w14:paraId="174B56A9" w14:textId="52F6145C" w:rsidR="001844D1" w:rsidRPr="006D06FD" w:rsidRDefault="001844D1" w:rsidP="006D06F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2" w:type="dxa"/>
            <w:vAlign w:val="center"/>
          </w:tcPr>
          <w:p w14:paraId="40485308" w14:textId="70AB624F" w:rsidR="001844D1" w:rsidRPr="00FA48EE" w:rsidRDefault="001844D1" w:rsidP="00FA48EE">
            <w:pPr>
              <w:rPr>
                <w:rFonts w:ascii="Arial" w:hAnsi="Arial" w:cs="Arial"/>
                <w:b/>
                <w:bCs/>
              </w:rPr>
            </w:pPr>
            <w:bookmarkStart w:id="0" w:name="_Hlk132615944"/>
            <w:r w:rsidRPr="00FA48EE">
              <w:rPr>
                <w:rFonts w:ascii="Arial" w:hAnsi="Arial" w:cs="Arial"/>
                <w:bCs/>
              </w:rPr>
              <w:t>Roczna liczba użytkowników nowych lub zmodernizowanych placówek oświatowych</w:t>
            </w:r>
            <w:bookmarkEnd w:id="0"/>
          </w:p>
        </w:tc>
        <w:tc>
          <w:tcPr>
            <w:tcW w:w="1769" w:type="dxa"/>
            <w:vAlign w:val="center"/>
          </w:tcPr>
          <w:p w14:paraId="31A6383E" w14:textId="55B190DB" w:rsidR="001844D1" w:rsidRPr="00FA48EE" w:rsidRDefault="001844D1" w:rsidP="00FA48EE">
            <w:pPr>
              <w:rPr>
                <w:rFonts w:ascii="Arial" w:hAnsi="Arial" w:cs="Arial"/>
                <w:b/>
                <w:bCs/>
              </w:rPr>
            </w:pPr>
            <w:r w:rsidRPr="00FA48EE">
              <w:rPr>
                <w:rFonts w:ascii="Arial" w:hAnsi="Arial" w:cs="Arial"/>
                <w:bCs/>
              </w:rPr>
              <w:t>użytkownicy/rok</w:t>
            </w:r>
          </w:p>
        </w:tc>
        <w:tc>
          <w:tcPr>
            <w:tcW w:w="7431" w:type="dxa"/>
            <w:vAlign w:val="center"/>
          </w:tcPr>
          <w:p w14:paraId="50C8704C" w14:textId="68099AC4" w:rsidR="001844D1" w:rsidRPr="00FA48EE" w:rsidRDefault="001844D1" w:rsidP="00FA48EE">
            <w:pPr>
              <w:rPr>
                <w:rFonts w:ascii="Arial" w:hAnsi="Arial" w:cs="Arial"/>
                <w:b/>
                <w:bCs/>
              </w:rPr>
            </w:pPr>
            <w:r w:rsidRPr="00FA48EE">
              <w:rPr>
                <w:rFonts w:ascii="Arial" w:hAnsi="Arial" w:cs="Arial"/>
                <w:bCs/>
              </w:rPr>
              <w:t xml:space="preserve">Roczna liczba zarejestrowanych uczniów korzystających z placówki oświatowej objętej wsparciem. W odniesieniu do osiągniętych wartości należy przeprowadzić obliczenia ex post na podstawie liczby i wielkości grup uczniów korzystających z placówki przynajmniej raz w roku następującym po zakończeniu interwencji. Wartość bazowa wskaźnika odnosi się do liczby użytkowników placówki objętej wsparciem oszacowanej dla roku przed rozpoczęciem interwencji i wynosi zero w przypadku nowo budowanych placówek. Wskaźnik nie obejmuje nauczycieli, rodziców, personelu pomocniczego ani innych osób, które również mogą korzystać z placówki. Wskaźnik obejmuje nowo budowane lub zmodernizowane placówki oświatowe, takie jak szkoły i uczelnie, </w:t>
            </w:r>
            <w:r w:rsidR="00443B14">
              <w:rPr>
                <w:rFonts w:ascii="Arial" w:hAnsi="Arial" w:cs="Arial"/>
                <w:bCs/>
              </w:rPr>
              <w:br/>
            </w:r>
            <w:r w:rsidRPr="00FA48EE">
              <w:rPr>
                <w:rFonts w:ascii="Arial" w:hAnsi="Arial" w:cs="Arial"/>
                <w:bCs/>
              </w:rPr>
              <w:t>a modernizacja nie obejmuje termomodernizacji ani konserwacji i napraw.</w:t>
            </w:r>
          </w:p>
        </w:tc>
      </w:tr>
    </w:tbl>
    <w:p w14:paraId="28F2026B" w14:textId="1703875D" w:rsidR="003B27A5" w:rsidRDefault="003B27A5" w:rsidP="008D2F50">
      <w:pPr>
        <w:pStyle w:val="Nagwek3"/>
        <w:ind w:left="709" w:hanging="425"/>
      </w:pPr>
      <w:r>
        <w:t>3.</w:t>
      </w:r>
      <w:r w:rsidR="008D2F50">
        <w:tab/>
      </w:r>
      <w:r>
        <w:t>Informacje dotyczące wyboru wskaźników.</w:t>
      </w:r>
    </w:p>
    <w:p w14:paraId="30F4EE63" w14:textId="680131BA" w:rsidR="006229D7" w:rsidRPr="009A6E89" w:rsidRDefault="00721E52" w:rsidP="003B27A5">
      <w:pPr>
        <w:ind w:left="567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 xml:space="preserve">1. </w:t>
      </w:r>
      <w:r w:rsidR="00A00E09" w:rsidRPr="00721E52">
        <w:rPr>
          <w:rFonts w:ascii="Arial" w:hAnsi="Arial" w:cs="Arial"/>
          <w:lang w:eastAsia="ko-KR"/>
        </w:rPr>
        <w:t>Planowane przedsięwzięcie należy opisać za pomocą wskaźników ustalonych dla danego naboru wniosków o dofinansowanie, zgodnie powyższą listą.</w:t>
      </w:r>
      <w:r w:rsidR="00A00E09" w:rsidRPr="00721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ko-KR"/>
        </w:rPr>
        <w:t xml:space="preserve">2. </w:t>
      </w:r>
      <w:r w:rsidR="00A00E09" w:rsidRPr="00721E52">
        <w:rPr>
          <w:rFonts w:ascii="Arial" w:hAnsi="Arial" w:cs="Arial"/>
          <w:lang w:eastAsia="ko-KR"/>
        </w:rPr>
        <w:t xml:space="preserve">Wskaźniki </w:t>
      </w:r>
      <w:r w:rsidR="00A00E09" w:rsidRPr="00721E52">
        <w:rPr>
          <w:rFonts w:ascii="Arial" w:hAnsi="Arial" w:cs="Arial"/>
          <w:u w:val="single"/>
          <w:lang w:eastAsia="ko-KR"/>
        </w:rPr>
        <w:t>produktu</w:t>
      </w:r>
      <w:r w:rsidR="00A00E09" w:rsidRPr="00721E52">
        <w:rPr>
          <w:rFonts w:ascii="Arial" w:hAnsi="Arial" w:cs="Arial"/>
          <w:lang w:eastAsia="ko-KR"/>
        </w:rPr>
        <w:t xml:space="preserve"> odnoszą się do </w:t>
      </w:r>
      <w:r w:rsidR="00A00E09" w:rsidRPr="00721E52">
        <w:rPr>
          <w:rFonts w:ascii="Arial" w:hAnsi="Arial" w:cs="Arial"/>
        </w:rPr>
        <w:t>bezpośrednich, materialnych efektów realizacji przedsięwzięcia, które można zmierzyć konkretnymi wielkościami fizycznymi.</w:t>
      </w:r>
      <w:r w:rsidR="000C2340" w:rsidRPr="00721E52">
        <w:rPr>
          <w:rFonts w:ascii="Arial" w:hAnsi="Arial" w:cs="Arial"/>
        </w:rPr>
        <w:t xml:space="preserve"> Powiązane są bezpośrednio z wydatkami ponoszonymi w projekcie.</w:t>
      </w:r>
      <w:r w:rsidR="00A00E09" w:rsidRPr="00721E52">
        <w:rPr>
          <w:rFonts w:ascii="Arial" w:hAnsi="Arial" w:cs="Arial"/>
        </w:rPr>
        <w:t xml:space="preserve"> Wartości uzyskanych produktów wynikać będą najczęściej z protokołów odbioru robót, dostaw i usług, inwentaryzacji geodezyjnej powykonawczej i innych dokumentów związanych z rozliczeniami inwestora z wykonawcą. Wskaźniki produktu występują z dniem odbioru i</w:t>
      </w:r>
      <w:r w:rsidR="003B27A5">
        <w:rPr>
          <w:rFonts w:ascii="Arial" w:hAnsi="Arial" w:cs="Arial"/>
        </w:rPr>
        <w:t xml:space="preserve"> </w:t>
      </w:r>
      <w:r w:rsidR="00A00E09" w:rsidRPr="00721E52">
        <w:rPr>
          <w:rFonts w:ascii="Arial" w:hAnsi="Arial" w:cs="Arial"/>
        </w:rPr>
        <w:t>przekazania inwestycji do użytkowania.</w:t>
      </w:r>
      <w:r>
        <w:rPr>
          <w:rFonts w:ascii="Arial" w:hAnsi="Arial" w:cs="Arial"/>
        </w:rPr>
        <w:br/>
        <w:t xml:space="preserve">3. </w:t>
      </w:r>
      <w:r w:rsidR="00A00E09" w:rsidRPr="00A770DD">
        <w:rPr>
          <w:rFonts w:ascii="Arial" w:hAnsi="Arial" w:cs="Arial"/>
          <w:u w:val="single"/>
        </w:rPr>
        <w:t>Rezultaty</w:t>
      </w:r>
      <w:r w:rsidR="00A00E09" w:rsidRPr="00A770DD">
        <w:rPr>
          <w:rFonts w:ascii="Arial" w:hAnsi="Arial" w:cs="Arial"/>
        </w:rPr>
        <w:t xml:space="preserve"> opisują wpływ zrealizowanego przedsięwzięcia na grupy docelowe (np. </w:t>
      </w:r>
      <w:r w:rsidR="00443B14">
        <w:rPr>
          <w:rFonts w:ascii="Arial" w:hAnsi="Arial" w:cs="Arial"/>
        </w:rPr>
        <w:t>l</w:t>
      </w:r>
      <w:r w:rsidR="00443B14" w:rsidRPr="00FA48EE">
        <w:rPr>
          <w:rFonts w:ascii="Arial" w:hAnsi="Arial" w:cs="Arial"/>
          <w:bCs/>
        </w:rPr>
        <w:t>iczba użytkowników nowych lub zmodernizowanych placówek oświatowych</w:t>
      </w:r>
      <w:r w:rsidR="006F578F" w:rsidRPr="00A770DD">
        <w:rPr>
          <w:rFonts w:ascii="Arial" w:hAnsi="Arial" w:cs="Arial"/>
        </w:rPr>
        <w:t xml:space="preserve">) </w:t>
      </w:r>
      <w:r w:rsidR="000B7F1A" w:rsidRPr="00F90446">
        <w:rPr>
          <w:rFonts w:ascii="Arial" w:hAnsi="Arial" w:cs="Arial"/>
        </w:rPr>
        <w:t xml:space="preserve">uzyskany po zakończeniu realizacji </w:t>
      </w:r>
      <w:r w:rsidR="000B7F1A" w:rsidRPr="00DB0D2C">
        <w:rPr>
          <w:rFonts w:ascii="Arial" w:hAnsi="Arial" w:cs="Arial"/>
        </w:rPr>
        <w:t>projektu</w:t>
      </w:r>
      <w:r w:rsidR="000C234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A00E09" w:rsidRPr="00A770DD">
        <w:rPr>
          <w:rFonts w:ascii="Arial" w:hAnsi="Arial" w:cs="Arial"/>
        </w:rPr>
        <w:t>Wsk</w:t>
      </w:r>
      <w:r w:rsidR="006F578F" w:rsidRPr="00A770DD">
        <w:rPr>
          <w:rFonts w:ascii="Arial" w:hAnsi="Arial" w:cs="Arial"/>
        </w:rPr>
        <w:t xml:space="preserve">aźniki rezultatów są niezbędne </w:t>
      </w:r>
      <w:r w:rsidR="00A00E09" w:rsidRPr="00A770DD">
        <w:rPr>
          <w:rFonts w:ascii="Arial" w:hAnsi="Arial" w:cs="Arial"/>
        </w:rPr>
        <w:t>do monitorowania efektów realizacji projektów i Programu.</w:t>
      </w:r>
      <w:r w:rsidR="00A00E09" w:rsidRPr="00A770DD">
        <w:rPr>
          <w:rFonts w:ascii="Arial" w:hAnsi="Arial" w:cs="Arial"/>
          <w:lang w:eastAsia="ko-KR"/>
        </w:rPr>
        <w:t xml:space="preserve"> </w:t>
      </w:r>
      <w:r w:rsidR="00A00E09" w:rsidRPr="00A770DD">
        <w:rPr>
          <w:rFonts w:ascii="Arial" w:hAnsi="Arial" w:cs="Arial"/>
        </w:rPr>
        <w:t>Wartości należy podać zgodnie z</w:t>
      </w:r>
      <w:r w:rsidR="00A973A3">
        <w:rPr>
          <w:rFonts w:ascii="Arial" w:hAnsi="Arial" w:cs="Arial"/>
        </w:rPr>
        <w:t xml:space="preserve"> </w:t>
      </w:r>
      <w:r w:rsidR="00A00E09" w:rsidRPr="00A770DD">
        <w:rPr>
          <w:rFonts w:ascii="Arial" w:hAnsi="Arial" w:cs="Arial"/>
        </w:rPr>
        <w:t>ustaloną dla danego wskaźnika jednostką miary.</w:t>
      </w:r>
      <w:r>
        <w:rPr>
          <w:rFonts w:ascii="Arial" w:hAnsi="Arial" w:cs="Arial"/>
        </w:rPr>
        <w:br/>
        <w:t xml:space="preserve">4. </w:t>
      </w:r>
      <w:r w:rsidR="00A00E09" w:rsidRPr="00721E52">
        <w:rPr>
          <w:rFonts w:ascii="Arial" w:hAnsi="Arial" w:cs="Arial"/>
        </w:rPr>
        <w:t>Wskaźniki należy oszacować rzetelnie mając na uwadze, że Wnioskodawca jest zobowiązany do monitorowania postępu w zakresie ich osiągania oraz będzie rozliczany z ich wypełnienia.</w:t>
      </w:r>
      <w:r>
        <w:rPr>
          <w:rFonts w:ascii="Arial" w:hAnsi="Arial" w:cs="Arial"/>
        </w:rPr>
        <w:br/>
        <w:t xml:space="preserve">5. </w:t>
      </w:r>
      <w:r w:rsidR="009A6E89" w:rsidRPr="00DD48EC">
        <w:rPr>
          <w:rFonts w:ascii="Arial" w:hAnsi="Arial" w:cs="Arial"/>
          <w:color w:val="000000" w:themeColor="text1"/>
        </w:rPr>
        <w:t>Dla każdego projektu należy obligatoryjnie wybrać wszystkie kluczowe wskaźniki produktu i rezultatu adekwatne do zakresu i celu projektu.</w:t>
      </w:r>
      <w:r>
        <w:rPr>
          <w:rFonts w:ascii="Arial" w:hAnsi="Arial" w:cs="Arial"/>
          <w:color w:val="000000" w:themeColor="text1"/>
        </w:rPr>
        <w:br/>
        <w:t xml:space="preserve">6. </w:t>
      </w:r>
      <w:r w:rsidR="00A00E09" w:rsidRPr="009A6E89">
        <w:rPr>
          <w:rFonts w:ascii="Arial" w:hAnsi="Arial" w:cs="Arial"/>
        </w:rPr>
        <w:t>Dodatkowe informacje na temat wskaźników podano w Instrukcji wypełniania wniosku</w:t>
      </w:r>
      <w:r w:rsidR="000C2340" w:rsidRPr="009A6E89">
        <w:rPr>
          <w:rFonts w:ascii="Arial" w:hAnsi="Arial" w:cs="Arial"/>
        </w:rPr>
        <w:t>.</w:t>
      </w:r>
      <w:r w:rsidR="00A00E09" w:rsidRPr="009A6E89">
        <w:rPr>
          <w:rFonts w:ascii="Arial" w:hAnsi="Arial" w:cs="Arial"/>
        </w:rPr>
        <w:t xml:space="preserve"> </w:t>
      </w:r>
    </w:p>
    <w:sectPr w:rsidR="006229D7" w:rsidRPr="009A6E89" w:rsidSect="00BA2F5A">
      <w:headerReference w:type="default" r:id="rId8"/>
      <w:footerReference w:type="even" r:id="rId9"/>
      <w:footerReference w:type="default" r:id="rId10"/>
      <w:pgSz w:w="16838" w:h="11906" w:orient="landscape"/>
      <w:pgMar w:top="1418" w:right="1258" w:bottom="1077" w:left="107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A9FD" w14:textId="77777777" w:rsidR="00251300" w:rsidRDefault="00251300" w:rsidP="00E865C7">
      <w:r>
        <w:separator/>
      </w:r>
    </w:p>
  </w:endnote>
  <w:endnote w:type="continuationSeparator" w:id="0">
    <w:p w14:paraId="51ABF81B" w14:textId="77777777" w:rsidR="00251300" w:rsidRDefault="00251300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8B9" w14:textId="02B67BEC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8E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8AE5" w14:textId="77777777" w:rsidR="00251300" w:rsidRDefault="00251300" w:rsidP="00E865C7">
      <w:r>
        <w:separator/>
      </w:r>
    </w:p>
  </w:footnote>
  <w:footnote w:type="continuationSeparator" w:id="0">
    <w:p w14:paraId="580606C6" w14:textId="77777777" w:rsidR="00251300" w:rsidRDefault="00251300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3C3" w14:textId="62A1CD78" w:rsidR="00DB0D2C" w:rsidRDefault="00097FED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454728C" wp14:editId="7C0A2134">
          <wp:extent cx="7767528" cy="626745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B7ACD08E"/>
    <w:lvl w:ilvl="0" w:tplc="4E9407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2A0D"/>
    <w:multiLevelType w:val="hybridMultilevel"/>
    <w:tmpl w:val="96E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30A4"/>
    <w:multiLevelType w:val="hybridMultilevel"/>
    <w:tmpl w:val="4C8AD7FA"/>
    <w:lvl w:ilvl="0" w:tplc="4C2C85A8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435547"/>
    <w:multiLevelType w:val="hybridMultilevel"/>
    <w:tmpl w:val="F724E0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15"/>
  </w:num>
  <w:num w:numId="13">
    <w:abstractNumId w:val="19"/>
  </w:num>
  <w:num w:numId="14">
    <w:abstractNumId w:val="11"/>
  </w:num>
  <w:num w:numId="15">
    <w:abstractNumId w:val="18"/>
  </w:num>
  <w:num w:numId="16">
    <w:abstractNumId w:val="21"/>
  </w:num>
  <w:num w:numId="17">
    <w:abstractNumId w:val="17"/>
  </w:num>
  <w:num w:numId="18">
    <w:abstractNumId w:val="2"/>
  </w:num>
  <w:num w:numId="19">
    <w:abstractNumId w:val="20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57"/>
    <w:rsid w:val="000045FF"/>
    <w:rsid w:val="0000794C"/>
    <w:rsid w:val="000100DB"/>
    <w:rsid w:val="00010F79"/>
    <w:rsid w:val="00011C75"/>
    <w:rsid w:val="0001519B"/>
    <w:rsid w:val="00020143"/>
    <w:rsid w:val="000312A3"/>
    <w:rsid w:val="00034F69"/>
    <w:rsid w:val="00037439"/>
    <w:rsid w:val="00053F23"/>
    <w:rsid w:val="00060CDF"/>
    <w:rsid w:val="00074198"/>
    <w:rsid w:val="00075468"/>
    <w:rsid w:val="00094BB7"/>
    <w:rsid w:val="00097FED"/>
    <w:rsid w:val="000A7369"/>
    <w:rsid w:val="000B7F1A"/>
    <w:rsid w:val="000C198C"/>
    <w:rsid w:val="000C2340"/>
    <w:rsid w:val="000D2CEC"/>
    <w:rsid w:val="000E1B8E"/>
    <w:rsid w:val="000E3D9A"/>
    <w:rsid w:val="000E5373"/>
    <w:rsid w:val="000E63D4"/>
    <w:rsid w:val="000E7E2C"/>
    <w:rsid w:val="000F1B18"/>
    <w:rsid w:val="000F1CB6"/>
    <w:rsid w:val="000F5AD1"/>
    <w:rsid w:val="00104BFF"/>
    <w:rsid w:val="0010795F"/>
    <w:rsid w:val="00111641"/>
    <w:rsid w:val="00117D9D"/>
    <w:rsid w:val="001248CC"/>
    <w:rsid w:val="0012614B"/>
    <w:rsid w:val="00135261"/>
    <w:rsid w:val="001409FD"/>
    <w:rsid w:val="00142279"/>
    <w:rsid w:val="0014370C"/>
    <w:rsid w:val="00161A89"/>
    <w:rsid w:val="0018395A"/>
    <w:rsid w:val="001844D1"/>
    <w:rsid w:val="001943FE"/>
    <w:rsid w:val="001954AD"/>
    <w:rsid w:val="001A18EC"/>
    <w:rsid w:val="001C5979"/>
    <w:rsid w:val="001C6183"/>
    <w:rsid w:val="001D1CE2"/>
    <w:rsid w:val="001D2947"/>
    <w:rsid w:val="001D62D5"/>
    <w:rsid w:val="001E036F"/>
    <w:rsid w:val="001E097D"/>
    <w:rsid w:val="001E7968"/>
    <w:rsid w:val="002000CC"/>
    <w:rsid w:val="00210557"/>
    <w:rsid w:val="00236A57"/>
    <w:rsid w:val="00251300"/>
    <w:rsid w:val="00263A18"/>
    <w:rsid w:val="00270F61"/>
    <w:rsid w:val="00271740"/>
    <w:rsid w:val="002760C3"/>
    <w:rsid w:val="00286EA5"/>
    <w:rsid w:val="00292EE8"/>
    <w:rsid w:val="00293719"/>
    <w:rsid w:val="00294534"/>
    <w:rsid w:val="002A35B2"/>
    <w:rsid w:val="002A64D6"/>
    <w:rsid w:val="002B18A1"/>
    <w:rsid w:val="002C18C7"/>
    <w:rsid w:val="002E4877"/>
    <w:rsid w:val="002E5681"/>
    <w:rsid w:val="002F1A1D"/>
    <w:rsid w:val="002F38F9"/>
    <w:rsid w:val="00301320"/>
    <w:rsid w:val="00314EF0"/>
    <w:rsid w:val="0032055E"/>
    <w:rsid w:val="003227CB"/>
    <w:rsid w:val="00324CD0"/>
    <w:rsid w:val="00330BFE"/>
    <w:rsid w:val="003337B8"/>
    <w:rsid w:val="00335D6C"/>
    <w:rsid w:val="00341998"/>
    <w:rsid w:val="00346E78"/>
    <w:rsid w:val="00355B80"/>
    <w:rsid w:val="00357C97"/>
    <w:rsid w:val="0036721A"/>
    <w:rsid w:val="00367D7F"/>
    <w:rsid w:val="00371D34"/>
    <w:rsid w:val="00371DAA"/>
    <w:rsid w:val="00386FD5"/>
    <w:rsid w:val="003943AC"/>
    <w:rsid w:val="003A3AC0"/>
    <w:rsid w:val="003A603E"/>
    <w:rsid w:val="003B27A5"/>
    <w:rsid w:val="003B72F0"/>
    <w:rsid w:val="003C7562"/>
    <w:rsid w:val="003D0E7E"/>
    <w:rsid w:val="003D19C0"/>
    <w:rsid w:val="003D50D1"/>
    <w:rsid w:val="003E4517"/>
    <w:rsid w:val="003E5FE9"/>
    <w:rsid w:val="003E6A3F"/>
    <w:rsid w:val="003E6FBE"/>
    <w:rsid w:val="00401CB5"/>
    <w:rsid w:val="004053B8"/>
    <w:rsid w:val="00410CD2"/>
    <w:rsid w:val="0041612D"/>
    <w:rsid w:val="00440691"/>
    <w:rsid w:val="00443B14"/>
    <w:rsid w:val="00444837"/>
    <w:rsid w:val="00452E1F"/>
    <w:rsid w:val="00454AC5"/>
    <w:rsid w:val="00466E61"/>
    <w:rsid w:val="00474A5F"/>
    <w:rsid w:val="00476D14"/>
    <w:rsid w:val="00490985"/>
    <w:rsid w:val="00497093"/>
    <w:rsid w:val="004A2F4F"/>
    <w:rsid w:val="004B25D7"/>
    <w:rsid w:val="004B4491"/>
    <w:rsid w:val="004C5A14"/>
    <w:rsid w:val="004D6F21"/>
    <w:rsid w:val="004E1201"/>
    <w:rsid w:val="00510B6A"/>
    <w:rsid w:val="0051207E"/>
    <w:rsid w:val="00513A21"/>
    <w:rsid w:val="00521415"/>
    <w:rsid w:val="00527AB2"/>
    <w:rsid w:val="00533E5C"/>
    <w:rsid w:val="0053489A"/>
    <w:rsid w:val="005414A6"/>
    <w:rsid w:val="00546A15"/>
    <w:rsid w:val="00556A8D"/>
    <w:rsid w:val="00561EBF"/>
    <w:rsid w:val="00562F50"/>
    <w:rsid w:val="005679F9"/>
    <w:rsid w:val="00573511"/>
    <w:rsid w:val="00573590"/>
    <w:rsid w:val="0058694B"/>
    <w:rsid w:val="00591EA6"/>
    <w:rsid w:val="0059306F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7CDD"/>
    <w:rsid w:val="00607F72"/>
    <w:rsid w:val="00610034"/>
    <w:rsid w:val="00616506"/>
    <w:rsid w:val="006211C1"/>
    <w:rsid w:val="006229C3"/>
    <w:rsid w:val="006229D7"/>
    <w:rsid w:val="0062555A"/>
    <w:rsid w:val="00631BF2"/>
    <w:rsid w:val="006448DA"/>
    <w:rsid w:val="006500B1"/>
    <w:rsid w:val="00655D30"/>
    <w:rsid w:val="0066139C"/>
    <w:rsid w:val="00662A58"/>
    <w:rsid w:val="00670C35"/>
    <w:rsid w:val="00690233"/>
    <w:rsid w:val="006907E5"/>
    <w:rsid w:val="006923F5"/>
    <w:rsid w:val="0069277E"/>
    <w:rsid w:val="00697FBE"/>
    <w:rsid w:val="006B2412"/>
    <w:rsid w:val="006B7ADE"/>
    <w:rsid w:val="006D06FD"/>
    <w:rsid w:val="006E2C25"/>
    <w:rsid w:val="006F578F"/>
    <w:rsid w:val="00705002"/>
    <w:rsid w:val="007101D6"/>
    <w:rsid w:val="0071630F"/>
    <w:rsid w:val="007166D0"/>
    <w:rsid w:val="007168F0"/>
    <w:rsid w:val="00717642"/>
    <w:rsid w:val="00721E52"/>
    <w:rsid w:val="00725D44"/>
    <w:rsid w:val="00730DD8"/>
    <w:rsid w:val="00743B44"/>
    <w:rsid w:val="007A2517"/>
    <w:rsid w:val="007A35AE"/>
    <w:rsid w:val="007A3601"/>
    <w:rsid w:val="007D4434"/>
    <w:rsid w:val="007D548C"/>
    <w:rsid w:val="0080150D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93E"/>
    <w:rsid w:val="00886C7B"/>
    <w:rsid w:val="008A2957"/>
    <w:rsid w:val="008B5CA4"/>
    <w:rsid w:val="008D2F50"/>
    <w:rsid w:val="008D75D9"/>
    <w:rsid w:val="008E3BCE"/>
    <w:rsid w:val="008F13AF"/>
    <w:rsid w:val="008F3A78"/>
    <w:rsid w:val="00904E53"/>
    <w:rsid w:val="00917A83"/>
    <w:rsid w:val="00917B2A"/>
    <w:rsid w:val="00954F2B"/>
    <w:rsid w:val="00965642"/>
    <w:rsid w:val="00967C94"/>
    <w:rsid w:val="009851A6"/>
    <w:rsid w:val="00986E6B"/>
    <w:rsid w:val="009A117D"/>
    <w:rsid w:val="009A4B6B"/>
    <w:rsid w:val="009A6E89"/>
    <w:rsid w:val="009B532C"/>
    <w:rsid w:val="009C41B1"/>
    <w:rsid w:val="009D2570"/>
    <w:rsid w:val="009D5796"/>
    <w:rsid w:val="009E0D4A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BC0"/>
    <w:rsid w:val="00A373EF"/>
    <w:rsid w:val="00A50920"/>
    <w:rsid w:val="00A556F0"/>
    <w:rsid w:val="00A6219D"/>
    <w:rsid w:val="00A62FEC"/>
    <w:rsid w:val="00A7591E"/>
    <w:rsid w:val="00A76B94"/>
    <w:rsid w:val="00A770DD"/>
    <w:rsid w:val="00A8090E"/>
    <w:rsid w:val="00A847FF"/>
    <w:rsid w:val="00A86534"/>
    <w:rsid w:val="00A946D6"/>
    <w:rsid w:val="00A94D41"/>
    <w:rsid w:val="00A973A3"/>
    <w:rsid w:val="00A97E68"/>
    <w:rsid w:val="00AA55EC"/>
    <w:rsid w:val="00AB3525"/>
    <w:rsid w:val="00AC036C"/>
    <w:rsid w:val="00AC0E5E"/>
    <w:rsid w:val="00AC3753"/>
    <w:rsid w:val="00AE5382"/>
    <w:rsid w:val="00AF036D"/>
    <w:rsid w:val="00AF5A85"/>
    <w:rsid w:val="00B041A0"/>
    <w:rsid w:val="00B04905"/>
    <w:rsid w:val="00B04FCF"/>
    <w:rsid w:val="00B0565E"/>
    <w:rsid w:val="00B07999"/>
    <w:rsid w:val="00B1031D"/>
    <w:rsid w:val="00B10E6B"/>
    <w:rsid w:val="00B37741"/>
    <w:rsid w:val="00B37824"/>
    <w:rsid w:val="00B43B05"/>
    <w:rsid w:val="00B4526C"/>
    <w:rsid w:val="00B46933"/>
    <w:rsid w:val="00B730B1"/>
    <w:rsid w:val="00B82272"/>
    <w:rsid w:val="00BA1553"/>
    <w:rsid w:val="00BA2F5A"/>
    <w:rsid w:val="00BA6517"/>
    <w:rsid w:val="00BA79F6"/>
    <w:rsid w:val="00BB2A13"/>
    <w:rsid w:val="00BC2D45"/>
    <w:rsid w:val="00BC6D95"/>
    <w:rsid w:val="00BD2CED"/>
    <w:rsid w:val="00BD61BE"/>
    <w:rsid w:val="00BD681F"/>
    <w:rsid w:val="00BF129C"/>
    <w:rsid w:val="00BF210B"/>
    <w:rsid w:val="00BF32AA"/>
    <w:rsid w:val="00C119C8"/>
    <w:rsid w:val="00C14107"/>
    <w:rsid w:val="00C14AFD"/>
    <w:rsid w:val="00C24E0C"/>
    <w:rsid w:val="00C25384"/>
    <w:rsid w:val="00C31693"/>
    <w:rsid w:val="00C345D4"/>
    <w:rsid w:val="00C40AB7"/>
    <w:rsid w:val="00C436E9"/>
    <w:rsid w:val="00C5254C"/>
    <w:rsid w:val="00C73ECA"/>
    <w:rsid w:val="00C76D31"/>
    <w:rsid w:val="00C83431"/>
    <w:rsid w:val="00C8736B"/>
    <w:rsid w:val="00C94292"/>
    <w:rsid w:val="00C94649"/>
    <w:rsid w:val="00CB045E"/>
    <w:rsid w:val="00CB17AB"/>
    <w:rsid w:val="00CC79AF"/>
    <w:rsid w:val="00CD560A"/>
    <w:rsid w:val="00CD7C38"/>
    <w:rsid w:val="00CF11BB"/>
    <w:rsid w:val="00CF3026"/>
    <w:rsid w:val="00CF6630"/>
    <w:rsid w:val="00D02898"/>
    <w:rsid w:val="00D25E4E"/>
    <w:rsid w:val="00D4458A"/>
    <w:rsid w:val="00D53CC4"/>
    <w:rsid w:val="00D66ACD"/>
    <w:rsid w:val="00D70932"/>
    <w:rsid w:val="00D72683"/>
    <w:rsid w:val="00D96BA2"/>
    <w:rsid w:val="00DA2818"/>
    <w:rsid w:val="00DB0D2C"/>
    <w:rsid w:val="00DD48EC"/>
    <w:rsid w:val="00DD5750"/>
    <w:rsid w:val="00DE34F5"/>
    <w:rsid w:val="00DE4D40"/>
    <w:rsid w:val="00E04B64"/>
    <w:rsid w:val="00E06F6C"/>
    <w:rsid w:val="00E10139"/>
    <w:rsid w:val="00E1540B"/>
    <w:rsid w:val="00E155DC"/>
    <w:rsid w:val="00E16BCA"/>
    <w:rsid w:val="00E250B3"/>
    <w:rsid w:val="00E26FA9"/>
    <w:rsid w:val="00E32F9F"/>
    <w:rsid w:val="00E507B7"/>
    <w:rsid w:val="00E722A6"/>
    <w:rsid w:val="00E7267B"/>
    <w:rsid w:val="00E74EBE"/>
    <w:rsid w:val="00E808EA"/>
    <w:rsid w:val="00E80A84"/>
    <w:rsid w:val="00E8357B"/>
    <w:rsid w:val="00E84469"/>
    <w:rsid w:val="00E84600"/>
    <w:rsid w:val="00E865C7"/>
    <w:rsid w:val="00E93E9D"/>
    <w:rsid w:val="00EB1A96"/>
    <w:rsid w:val="00EC1B4D"/>
    <w:rsid w:val="00EC4049"/>
    <w:rsid w:val="00ED114D"/>
    <w:rsid w:val="00ED16EB"/>
    <w:rsid w:val="00EE0CE8"/>
    <w:rsid w:val="00EE334B"/>
    <w:rsid w:val="00EF2134"/>
    <w:rsid w:val="00EF7855"/>
    <w:rsid w:val="00F10E58"/>
    <w:rsid w:val="00F33069"/>
    <w:rsid w:val="00F43445"/>
    <w:rsid w:val="00F4408C"/>
    <w:rsid w:val="00F632A6"/>
    <w:rsid w:val="00F65167"/>
    <w:rsid w:val="00F72F8C"/>
    <w:rsid w:val="00F82BE1"/>
    <w:rsid w:val="00F84661"/>
    <w:rsid w:val="00F86B20"/>
    <w:rsid w:val="00F90446"/>
    <w:rsid w:val="00F9335B"/>
    <w:rsid w:val="00F96BD2"/>
    <w:rsid w:val="00FA0B22"/>
    <w:rsid w:val="00FA1D4A"/>
    <w:rsid w:val="00FA48EE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38D5ED"/>
  <w15:docId w15:val="{AC767597-1794-4322-A81B-1C40FB9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9E0D4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D4A"/>
    <w:pPr>
      <w:keepNext/>
      <w:keepLines/>
      <w:spacing w:before="280" w:after="240" w:line="360" w:lineRule="auto"/>
      <w:outlineLvl w:val="1"/>
    </w:pPr>
    <w:rPr>
      <w:rFonts w:ascii="Arial" w:eastAsiaTheme="majorEastAsia" w:hAnsi="Arial" w:cstheme="majorBidi"/>
      <w:b/>
      <w:color w:val="262626" w:themeColor="text1" w:themeTint="D9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D4A"/>
    <w:pPr>
      <w:keepNext/>
      <w:keepLines/>
      <w:spacing w:before="280" w:after="240" w:line="360" w:lineRule="auto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0D4A"/>
    <w:rPr>
      <w:rFonts w:ascii="Arial" w:eastAsiaTheme="majorEastAsia" w:hAnsi="Arial" w:cstheme="majorBidi"/>
      <w:b/>
      <w:color w:val="262626" w:themeColor="text1" w:themeTint="D9"/>
      <w:sz w:val="24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D4A"/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E0D4A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E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6EA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989A-327C-4017-8297-440A92F8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(EFRR)</vt:lpstr>
    </vt:vector>
  </TitlesOfParts>
  <Company>urząd marszałkowski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(EFRR)</dc:title>
  <dc:creator>PI</dc:creator>
  <cp:lastModifiedBy>Pilch Mariusz</cp:lastModifiedBy>
  <cp:revision>8</cp:revision>
  <cp:lastPrinted>2015-11-20T09:50:00Z</cp:lastPrinted>
  <dcterms:created xsi:type="dcterms:W3CDTF">2023-04-03T07:59:00Z</dcterms:created>
  <dcterms:modified xsi:type="dcterms:W3CDTF">2023-04-21T11:18:00Z</dcterms:modified>
</cp:coreProperties>
</file>