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27F2" w14:textId="1FC51C27" w:rsidR="006229D7" w:rsidRPr="000D2CEC" w:rsidRDefault="00556A8D" w:rsidP="009E0D4A">
      <w:pPr>
        <w:pStyle w:val="Nagwek1"/>
        <w:spacing w:after="1920"/>
        <w:jc w:val="right"/>
      </w:pPr>
      <w:r>
        <w:t xml:space="preserve">Załącznik nr </w:t>
      </w:r>
      <w:r w:rsidR="00452E1F">
        <w:t>6</w:t>
      </w:r>
      <w:r w:rsidR="003A603E">
        <w:t xml:space="preserve"> do Regulaminu wyboru projektów</w:t>
      </w:r>
    </w:p>
    <w:p w14:paraId="580A37F7" w14:textId="1F233974" w:rsidR="009E0D4A" w:rsidRPr="009E0D4A" w:rsidRDefault="00A00E09" w:rsidP="009E0D4A">
      <w:pPr>
        <w:pStyle w:val="Nagwek2"/>
        <w:spacing w:after="1920"/>
        <w:jc w:val="center"/>
        <w:rPr>
          <w:rFonts w:cs="Arial"/>
          <w:sz w:val="32"/>
          <w:szCs w:val="32"/>
        </w:rPr>
      </w:pPr>
      <w:r w:rsidRPr="009E0D4A">
        <w:rPr>
          <w:sz w:val="32"/>
          <w:szCs w:val="32"/>
        </w:rPr>
        <w:t xml:space="preserve">Lista wskaźników </w:t>
      </w:r>
      <w:r w:rsidR="003A603E" w:rsidRPr="009E0D4A">
        <w:rPr>
          <w:sz w:val="32"/>
          <w:szCs w:val="32"/>
        </w:rPr>
        <w:t>(EFRR)</w:t>
      </w:r>
      <w:r w:rsidR="009E0D4A" w:rsidRPr="009E0D4A">
        <w:rPr>
          <w:sz w:val="32"/>
          <w:szCs w:val="32"/>
        </w:rPr>
        <w:br/>
      </w:r>
      <w:r w:rsidR="003A603E">
        <w:rPr>
          <w:rFonts w:cs="Arial"/>
          <w:bCs/>
          <w:sz w:val="32"/>
          <w:szCs w:val="32"/>
        </w:rPr>
        <w:t>P</w:t>
      </w:r>
      <w:r w:rsidR="00097FED" w:rsidRPr="00097FED">
        <w:rPr>
          <w:rFonts w:cs="Arial"/>
          <w:bCs/>
          <w:sz w:val="32"/>
          <w:szCs w:val="32"/>
        </w:rPr>
        <w:t xml:space="preserve">riorytet </w:t>
      </w:r>
      <w:r w:rsidR="00F71C2E" w:rsidRPr="00F71C2E">
        <w:rPr>
          <w:rFonts w:cs="Arial"/>
          <w:bCs/>
          <w:sz w:val="32"/>
          <w:szCs w:val="32"/>
        </w:rPr>
        <w:t>FEPK.01 KONKURENCYJNA I CYFROWA GOSPODARKA</w:t>
      </w:r>
      <w:r w:rsidR="009E0D4A">
        <w:rPr>
          <w:rFonts w:cs="Arial"/>
          <w:bCs/>
          <w:sz w:val="32"/>
          <w:szCs w:val="32"/>
        </w:rPr>
        <w:br/>
      </w:r>
      <w:r w:rsidR="00097FED" w:rsidRPr="00097FED">
        <w:rPr>
          <w:rFonts w:cs="Arial"/>
          <w:bCs/>
          <w:sz w:val="32"/>
          <w:szCs w:val="32"/>
        </w:rPr>
        <w:t xml:space="preserve">działanie </w:t>
      </w:r>
      <w:r w:rsidR="00097FED">
        <w:rPr>
          <w:rFonts w:cs="Arial"/>
          <w:bCs/>
          <w:sz w:val="32"/>
          <w:szCs w:val="32"/>
        </w:rPr>
        <w:t>FEPK</w:t>
      </w:r>
      <w:r w:rsidR="00097FED" w:rsidRPr="00097FED">
        <w:rPr>
          <w:rFonts w:cs="Arial"/>
          <w:bCs/>
          <w:sz w:val="32"/>
          <w:szCs w:val="32"/>
        </w:rPr>
        <w:t>.0</w:t>
      </w:r>
      <w:r w:rsidR="00F71C2E">
        <w:rPr>
          <w:rFonts w:cs="Arial"/>
          <w:bCs/>
          <w:sz w:val="32"/>
          <w:szCs w:val="32"/>
        </w:rPr>
        <w:t>1</w:t>
      </w:r>
      <w:r w:rsidR="00097FED" w:rsidRPr="00097FED">
        <w:rPr>
          <w:rFonts w:cs="Arial"/>
          <w:bCs/>
          <w:sz w:val="32"/>
          <w:szCs w:val="32"/>
        </w:rPr>
        <w:t>.0</w:t>
      </w:r>
      <w:r w:rsidR="00F71C2E">
        <w:rPr>
          <w:rFonts w:cs="Arial"/>
          <w:bCs/>
          <w:sz w:val="32"/>
          <w:szCs w:val="32"/>
        </w:rPr>
        <w:t>2</w:t>
      </w:r>
      <w:r w:rsidR="00097FED" w:rsidRPr="00097FED">
        <w:rPr>
          <w:rFonts w:cs="Arial"/>
          <w:bCs/>
          <w:sz w:val="32"/>
          <w:szCs w:val="32"/>
        </w:rPr>
        <w:t xml:space="preserve"> </w:t>
      </w:r>
      <w:r w:rsidR="00F71C2E">
        <w:rPr>
          <w:rFonts w:cs="Arial"/>
          <w:bCs/>
          <w:sz w:val="32"/>
          <w:szCs w:val="32"/>
        </w:rPr>
        <w:t>Cyfryzacja</w:t>
      </w:r>
      <w:r w:rsidRPr="00C31693">
        <w:rPr>
          <w:rFonts w:cs="Arial"/>
          <w:bCs/>
          <w:sz w:val="32"/>
          <w:szCs w:val="32"/>
        </w:rPr>
        <w:t xml:space="preserve"> </w:t>
      </w:r>
      <w:r w:rsidR="009E0D4A">
        <w:rPr>
          <w:rFonts w:cs="Arial"/>
          <w:bCs/>
          <w:sz w:val="32"/>
          <w:szCs w:val="32"/>
        </w:rPr>
        <w:br/>
      </w:r>
      <w:r w:rsidR="00327040">
        <w:rPr>
          <w:rFonts w:cs="Arial"/>
          <w:sz w:val="32"/>
          <w:szCs w:val="32"/>
        </w:rPr>
        <w:t>p</w:t>
      </w:r>
      <w:r w:rsidR="00097FED" w:rsidRPr="00097FED">
        <w:rPr>
          <w:rFonts w:cs="Arial"/>
          <w:sz w:val="32"/>
          <w:szCs w:val="32"/>
        </w:rPr>
        <w:t>rog</w:t>
      </w:r>
      <w:r w:rsidR="00097FED">
        <w:rPr>
          <w:rFonts w:cs="Arial"/>
          <w:sz w:val="32"/>
          <w:szCs w:val="32"/>
        </w:rPr>
        <w:t>r</w:t>
      </w:r>
      <w:r w:rsidR="00097FED" w:rsidRPr="00097FED">
        <w:rPr>
          <w:rFonts w:cs="Arial"/>
          <w:sz w:val="32"/>
          <w:szCs w:val="32"/>
        </w:rPr>
        <w:t xml:space="preserve">amu </w:t>
      </w:r>
      <w:r w:rsidR="00327040">
        <w:rPr>
          <w:rFonts w:cs="Arial"/>
          <w:sz w:val="32"/>
          <w:szCs w:val="32"/>
        </w:rPr>
        <w:t>r</w:t>
      </w:r>
      <w:r w:rsidR="00097FED" w:rsidRPr="00097FED">
        <w:rPr>
          <w:rFonts w:cs="Arial"/>
          <w:sz w:val="32"/>
          <w:szCs w:val="32"/>
        </w:rPr>
        <w:t xml:space="preserve">egionalnego </w:t>
      </w:r>
      <w:r w:rsidR="00097FED">
        <w:rPr>
          <w:rFonts w:cs="Arial"/>
          <w:sz w:val="32"/>
          <w:szCs w:val="32"/>
        </w:rPr>
        <w:t>F</w:t>
      </w:r>
      <w:r w:rsidR="00097FED" w:rsidRPr="00097FED">
        <w:rPr>
          <w:rFonts w:cs="Arial"/>
          <w:sz w:val="32"/>
          <w:szCs w:val="32"/>
        </w:rPr>
        <w:t xml:space="preserve">undusze </w:t>
      </w:r>
      <w:r w:rsidR="00097FED">
        <w:rPr>
          <w:rFonts w:cs="Arial"/>
          <w:sz w:val="32"/>
          <w:szCs w:val="32"/>
        </w:rPr>
        <w:t>E</w:t>
      </w:r>
      <w:r w:rsidR="00097FED" w:rsidRPr="00097FED">
        <w:rPr>
          <w:rFonts w:cs="Arial"/>
          <w:sz w:val="32"/>
          <w:szCs w:val="32"/>
        </w:rPr>
        <w:t xml:space="preserve">uropejskie dla </w:t>
      </w:r>
      <w:r w:rsidR="00097FED">
        <w:rPr>
          <w:rFonts w:cs="Arial"/>
          <w:sz w:val="32"/>
          <w:szCs w:val="32"/>
        </w:rPr>
        <w:t>P</w:t>
      </w:r>
      <w:r w:rsidR="00097FED" w:rsidRPr="00097FED">
        <w:rPr>
          <w:rFonts w:cs="Arial"/>
          <w:sz w:val="32"/>
          <w:szCs w:val="32"/>
        </w:rPr>
        <w:t>odkarpacia 2021-2027</w:t>
      </w:r>
      <w:r w:rsidR="009E0D4A">
        <w:rPr>
          <w:rFonts w:cs="Arial"/>
          <w:sz w:val="32"/>
          <w:szCs w:val="32"/>
        </w:rPr>
        <w:br w:type="page"/>
      </w:r>
    </w:p>
    <w:p w14:paraId="715C0C3F" w14:textId="3DBDAF7A" w:rsidR="00FB5F2B" w:rsidRPr="009A6E89" w:rsidRDefault="00D70932" w:rsidP="009E0D4A">
      <w:pPr>
        <w:pStyle w:val="Nagwek3"/>
        <w:numPr>
          <w:ilvl w:val="0"/>
          <w:numId w:val="20"/>
        </w:numPr>
      </w:pPr>
      <w:r w:rsidRPr="009A6E89">
        <w:lastRenderedPageBreak/>
        <w:t>Wskaźniki produktu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skaźniki produktu"/>
        <w:tblDescription w:val="Tabela zawiera wskaźniki produktu."/>
      </w:tblPr>
      <w:tblGrid>
        <w:gridCol w:w="824"/>
        <w:gridCol w:w="3282"/>
        <w:gridCol w:w="1418"/>
        <w:gridCol w:w="7087"/>
      </w:tblGrid>
      <w:tr w:rsidR="00401CB5" w:rsidRPr="000D2CEC" w14:paraId="419230AF" w14:textId="77777777" w:rsidTr="009C6524">
        <w:trPr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928" w14:textId="77777777" w:rsidR="00401CB5" w:rsidRPr="000D2CEC" w:rsidRDefault="00401CB5">
            <w:pPr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8E0" w14:textId="77777777" w:rsidR="00401CB5" w:rsidRPr="000D2CEC" w:rsidRDefault="00401CB5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16A" w14:textId="77777777" w:rsidR="00401CB5" w:rsidRPr="000D2CEC" w:rsidRDefault="00401C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9C3" w14:textId="77777777" w:rsidR="00401CB5" w:rsidRPr="000D2CEC" w:rsidRDefault="00401CB5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401CB5" w:rsidRPr="000D2CEC" w14:paraId="3C5D28E1" w14:textId="77777777" w:rsidTr="001954AD">
        <w:trPr>
          <w:trHeight w:val="464"/>
          <w:jc w:val="center"/>
        </w:trPr>
        <w:tc>
          <w:tcPr>
            <w:tcW w:w="824" w:type="dxa"/>
            <w:vAlign w:val="center"/>
          </w:tcPr>
          <w:p w14:paraId="26A53D2B" w14:textId="55A04CC4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vAlign w:val="center"/>
          </w:tcPr>
          <w:p w14:paraId="03D06AA7" w14:textId="289EC177" w:rsidR="00401CB5" w:rsidRPr="00236A57" w:rsidRDefault="00300872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872">
              <w:rPr>
                <w:rFonts w:ascii="Arial" w:hAnsi="Arial" w:cs="Arial"/>
                <w:bCs/>
              </w:rPr>
              <w:t>Instytucje publiczne otrzymujące wsparcie na opracowywanie</w:t>
            </w:r>
            <w:r w:rsidRPr="00300872">
              <w:rPr>
                <w:rFonts w:ascii="Arial" w:hAnsi="Arial" w:cs="Arial"/>
                <w:bCs/>
              </w:rPr>
              <w:br/>
              <w:t>usług, produktów i procesów cyfrowych</w:t>
            </w:r>
          </w:p>
        </w:tc>
        <w:tc>
          <w:tcPr>
            <w:tcW w:w="1418" w:type="dxa"/>
            <w:vAlign w:val="center"/>
          </w:tcPr>
          <w:p w14:paraId="6D983386" w14:textId="77777777" w:rsidR="00401CB5" w:rsidRPr="000D2CEC" w:rsidRDefault="00401CB5" w:rsidP="001D1CE2">
            <w:pPr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vAlign w:val="center"/>
          </w:tcPr>
          <w:p w14:paraId="55BC8593" w14:textId="486A4726" w:rsidR="00401CB5" w:rsidRPr="009B7C23" w:rsidRDefault="00300872" w:rsidP="00381113">
            <w:pPr>
              <w:rPr>
                <w:rFonts w:ascii="Arial" w:hAnsi="Arial" w:cs="Arial"/>
                <w:kern w:val="3"/>
                <w:lang w:eastAsia="zh-CN"/>
              </w:rPr>
            </w:pPr>
            <w:r w:rsidRPr="00300872">
              <w:rPr>
                <w:rFonts w:ascii="Arial" w:hAnsi="Arial" w:cs="Arial"/>
                <w:kern w:val="3"/>
                <w:lang w:eastAsia="zh-CN"/>
              </w:rPr>
              <w:t>Liczba instytucji publicznych otrzymujących wsparcie na opracowanie lub znaczne zmodernizowanie usług, produktów i procesów cyfrowych, na przykład w kontekście działań z zakresu administracji elektronicznej. Znaczące modernizacje obejmują tylko nowe funkcjonalności. Instytucje publiczne obejmują lokalne instytucje publiczne, władze regionalne lub inne rodzaje instytucji publicznych. Wskaźnik nie obejmuje przedsiębiorstw komunalnych i publicznych uczelni czy instytutów badawczych.</w:t>
            </w:r>
            <w:r w:rsidR="009B7C23" w:rsidRPr="009B7C23">
              <w:rPr>
                <w:rFonts w:cs="Calibri"/>
                <w:sz w:val="18"/>
                <w:szCs w:val="18"/>
              </w:rPr>
              <w:t xml:space="preserve"> </w:t>
            </w:r>
            <w:r w:rsidR="00381113">
              <w:rPr>
                <w:rFonts w:cs="Calibri"/>
                <w:sz w:val="18"/>
                <w:szCs w:val="18"/>
              </w:rPr>
              <w:br/>
            </w:r>
            <w:r w:rsidR="009B7C23">
              <w:rPr>
                <w:rFonts w:ascii="Arial" w:hAnsi="Arial" w:cs="Arial"/>
                <w:kern w:val="3"/>
                <w:lang w:eastAsia="zh-CN"/>
              </w:rPr>
              <w:t>Z</w:t>
            </w:r>
            <w:r w:rsidR="009B7C23" w:rsidRPr="009B7C23">
              <w:rPr>
                <w:rFonts w:ascii="Arial" w:hAnsi="Arial" w:cs="Arial"/>
                <w:kern w:val="3"/>
                <w:lang w:eastAsia="zh-CN"/>
              </w:rPr>
              <w:t xml:space="preserve">a wspartą instytucję publiczną </w:t>
            </w:r>
            <w:r w:rsidR="00381113">
              <w:rPr>
                <w:rFonts w:ascii="Arial" w:hAnsi="Arial" w:cs="Arial"/>
                <w:kern w:val="3"/>
                <w:lang w:eastAsia="zh-CN"/>
              </w:rPr>
              <w:t>należy uznać</w:t>
            </w:r>
            <w:bookmarkStart w:id="0" w:name="_GoBack"/>
            <w:bookmarkEnd w:id="0"/>
            <w:r w:rsidR="009B7C23" w:rsidRPr="009B7C23">
              <w:rPr>
                <w:rFonts w:ascii="Arial" w:hAnsi="Arial" w:cs="Arial"/>
                <w:kern w:val="3"/>
                <w:lang w:eastAsia="zh-CN"/>
              </w:rPr>
              <w:t xml:space="preserve"> beneficjenta (adresata i </w:t>
            </w:r>
            <w:r w:rsidR="009B7C23">
              <w:rPr>
                <w:rFonts w:ascii="Arial" w:hAnsi="Arial" w:cs="Arial"/>
                <w:kern w:val="3"/>
                <w:lang w:eastAsia="zh-CN"/>
              </w:rPr>
              <w:t xml:space="preserve">dysponenta otrzymanych środków), </w:t>
            </w:r>
            <w:r w:rsidR="009B7C23" w:rsidRPr="009B7C23">
              <w:rPr>
                <w:rFonts w:ascii="Arial" w:hAnsi="Arial" w:cs="Arial"/>
                <w:kern w:val="3"/>
                <w:lang w:eastAsia="zh-CN"/>
              </w:rPr>
              <w:t>wówczas wartość wskaźnika powinna wynosić 1 (liczony jest tylko beneficjent).</w:t>
            </w:r>
            <w:r w:rsidR="009B7C23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="009B7C23" w:rsidRPr="009B7C23">
              <w:rPr>
                <w:rFonts w:ascii="Arial" w:hAnsi="Arial" w:cs="Arial"/>
                <w:kern w:val="3"/>
                <w:lang w:eastAsia="zh-CN"/>
              </w:rPr>
              <w:t>W przypadku jeśli projekt realizowany jest w partnerstwie (np. związek gmin) i partnerzy dysponują własnym budżetem, wartość wskaźnika powinna być równa liczbie podmiotów, którzy otrzymali wsparcie, tj. beneficjent główny + partnerzy.</w:t>
            </w:r>
          </w:p>
        </w:tc>
      </w:tr>
      <w:tr w:rsidR="00401CB5" w:rsidRPr="000D2CEC" w14:paraId="1F09D815" w14:textId="77777777" w:rsidTr="001954AD">
        <w:trPr>
          <w:trHeight w:val="232"/>
          <w:jc w:val="center"/>
        </w:trPr>
        <w:tc>
          <w:tcPr>
            <w:tcW w:w="824" w:type="dxa"/>
            <w:vAlign w:val="center"/>
          </w:tcPr>
          <w:p w14:paraId="5CF60D5D" w14:textId="61FF1C96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vAlign w:val="center"/>
          </w:tcPr>
          <w:p w14:paraId="565C4A70" w14:textId="1818E200" w:rsidR="00401CB5" w:rsidRPr="00BA2F5A" w:rsidRDefault="006E01A0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6E01A0">
              <w:rPr>
                <w:rFonts w:ascii="Arial" w:hAnsi="Arial" w:cs="Arial"/>
                <w:bCs/>
              </w:rPr>
              <w:t>Liczba obiektów dostosowanych do potrzeb osób z niepełnosprawnościami (EFRR/FST/FS)</w:t>
            </w:r>
          </w:p>
        </w:tc>
        <w:tc>
          <w:tcPr>
            <w:tcW w:w="1418" w:type="dxa"/>
            <w:vAlign w:val="center"/>
          </w:tcPr>
          <w:p w14:paraId="2DA09B62" w14:textId="77777777" w:rsidR="00401CB5" w:rsidRPr="000D2CEC" w:rsidRDefault="00401CB5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vAlign w:val="center"/>
          </w:tcPr>
          <w:p w14:paraId="10516E87" w14:textId="5BCCE19D" w:rsidR="00401CB5" w:rsidRPr="00A94D41" w:rsidRDefault="00C40AB7" w:rsidP="001D1CE2">
            <w:pPr>
              <w:autoSpaceDE w:val="0"/>
              <w:adjustRightInd w:val="0"/>
              <w:rPr>
                <w:rFonts w:ascii="Arial" w:hAnsi="Arial" w:cs="Arial"/>
              </w:rPr>
            </w:pPr>
            <w:r w:rsidRPr="00C40AB7">
              <w:rPr>
                <w:rFonts w:ascii="Arial" w:hAnsi="Arial" w:cs="Arial"/>
              </w:rPr>
      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Jako obiekty należy rozumieć konstrukcje połączone z gruntem w sposób trwały, wykonane z materiałów budowlanych i elementów składowych, będące wynikiem prac budowlanych (wg. def. PKOB).</w:t>
            </w:r>
            <w:r w:rsidR="0075497C">
              <w:rPr>
                <w:rFonts w:ascii="Arial" w:hAnsi="Arial" w:cs="Arial"/>
              </w:rPr>
              <w:t>`</w:t>
            </w:r>
            <w:r w:rsidRPr="00C40AB7">
              <w:rPr>
                <w:rFonts w:ascii="Arial" w:hAnsi="Arial" w:cs="Arial"/>
              </w:rPr>
              <w:t xml:space="preserve"> Należy podać liczbę obiektów, a nie sprzętów, urządzeń itp., w które obiekty zaopatrzono. Jeśli instytucja, zakład itp. składa się z kilku obiektów, należy zliczyć wszystkie, które dostosowano do potrzeb osób z niepełnosprawnościami.</w:t>
            </w:r>
            <w:r w:rsidR="00A973A3">
              <w:rPr>
                <w:rFonts w:ascii="Arial" w:hAnsi="Arial" w:cs="Arial"/>
              </w:rPr>
              <w:t xml:space="preserve"> </w:t>
            </w:r>
            <w:r w:rsidRPr="00C40AB7">
              <w:rPr>
                <w:rFonts w:ascii="Arial" w:hAnsi="Arial" w:cs="Arial"/>
              </w:rPr>
              <w:t>Wskaźnik mierzony w momencie rozliczenia wydatku związanego z wyposażeniem obiektów w rozwiązania służące osobom z niepełnosprawnościami w ramach danego projektu.</w:t>
            </w:r>
          </w:p>
        </w:tc>
      </w:tr>
      <w:tr w:rsidR="00401CB5" w:rsidRPr="000D2CEC" w14:paraId="454A9FA6" w14:textId="77777777" w:rsidTr="001954AD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57B36975" w14:textId="23ACE146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026CCDAB" w14:textId="1CB52304" w:rsidR="00401CB5" w:rsidRPr="000D2CEC" w:rsidRDefault="00300872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872">
              <w:rPr>
                <w:rFonts w:ascii="Arial" w:hAnsi="Arial" w:cs="Arial"/>
                <w:bCs/>
              </w:rPr>
              <w:t>Liczba podmiotów, które udostępniły informacje sektora publicznego/dane prywatne on-line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1ACF99" w14:textId="77777777" w:rsidR="00401CB5" w:rsidRPr="000D2CEC" w:rsidRDefault="00401CB5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8E85D28" w14:textId="44A92F2A" w:rsidR="00401CB5" w:rsidRPr="000D2CEC" w:rsidRDefault="00300872" w:rsidP="001D1CE2">
            <w:pPr>
              <w:rPr>
                <w:rFonts w:ascii="Arial" w:hAnsi="Arial" w:cs="Arial"/>
              </w:rPr>
            </w:pPr>
            <w:r w:rsidRPr="00300872">
              <w:rPr>
                <w:rFonts w:ascii="Arial" w:hAnsi="Arial" w:cs="Arial"/>
              </w:rPr>
              <w:t>Liczba podmiotów sektora publicznego lub prywatnego, które w wyniku interwencji udostępniły on-line informacje sektora publicznego lub dane prywatne.   Przez informacje sektora publicznego należy rozumieć:    - informację sektora publicznego w rozumieniu ustawy z dnia 25 lutego 2016 r. o ponownym wykorzystywaniu informacji sektora publicznego,   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publicznego).   Dane prywatne, to każda treść lub jej część, niezależnie od sposobu utrwalenia, w szczególności w postaci papierowej, elektronicznej, dźwiękowej, wizualnej lub audiowizualnej, będąca w posiadaniu podmiotu innego niż podmiot zobowiązany i przez niego wytworzoną, z wyjątkiem danych osobowych. Przez podmiot zobowiązany rozumieć należy podmioty wymienione w art. 3 ustawy o ponownym wykorzystywaniu informacji sektora publicznego.</w:t>
            </w:r>
          </w:p>
        </w:tc>
      </w:tr>
      <w:tr w:rsidR="00300872" w:rsidRPr="000D2CEC" w14:paraId="0BDF78C7" w14:textId="77777777" w:rsidTr="00300872">
        <w:trPr>
          <w:trHeight w:val="930"/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17C3A4F" w14:textId="27368BA7" w:rsidR="00300872" w:rsidRDefault="00300872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75D5DA5D" w14:textId="3FE2B633" w:rsidR="00300872" w:rsidRPr="00300872" w:rsidRDefault="00300872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872">
              <w:rPr>
                <w:rFonts w:ascii="Arial" w:hAnsi="Arial" w:cs="Arial"/>
                <w:bCs/>
              </w:rPr>
              <w:t xml:space="preserve">Liczba podmiotów wspartych w zakresie </w:t>
            </w:r>
            <w:proofErr w:type="spellStart"/>
            <w:r w:rsidRPr="00300872">
              <w:rPr>
                <w:rFonts w:ascii="Arial" w:hAnsi="Arial" w:cs="Arial"/>
                <w:bCs/>
              </w:rPr>
              <w:t>cyberbezpieczeństwa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2710AE" w14:textId="372B38DB" w:rsidR="00300872" w:rsidRDefault="00300872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DB7B674" w14:textId="303645B8" w:rsidR="00300872" w:rsidRPr="00300872" w:rsidRDefault="00300872" w:rsidP="001D1CE2">
            <w:pPr>
              <w:rPr>
                <w:rFonts w:ascii="Arial" w:hAnsi="Arial" w:cs="Arial"/>
              </w:rPr>
            </w:pPr>
            <w:r w:rsidRPr="00300872">
              <w:rPr>
                <w:rFonts w:ascii="Arial" w:hAnsi="Arial" w:cs="Arial"/>
              </w:rPr>
              <w:t xml:space="preserve">Liczba podmiotów, które wdrożyły  rozwiązania w obszarze </w:t>
            </w:r>
            <w:proofErr w:type="spellStart"/>
            <w:r w:rsidRPr="00300872">
              <w:rPr>
                <w:rFonts w:ascii="Arial" w:hAnsi="Arial" w:cs="Arial"/>
              </w:rPr>
              <w:t>cyberbezpieczeństwa</w:t>
            </w:r>
            <w:proofErr w:type="spellEnd"/>
            <w:r w:rsidRPr="00300872">
              <w:rPr>
                <w:rFonts w:ascii="Arial" w:hAnsi="Arial" w:cs="Arial"/>
              </w:rPr>
              <w:t>, w celu zapobiegania i reagowania na incydenty w systemach informacyjnych.</w:t>
            </w:r>
          </w:p>
        </w:tc>
      </w:tr>
      <w:tr w:rsidR="00300872" w:rsidRPr="000D2CEC" w14:paraId="68220E0A" w14:textId="77777777" w:rsidTr="00300872">
        <w:trPr>
          <w:trHeight w:val="802"/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1B1CD8E9" w14:textId="3575B875" w:rsidR="00300872" w:rsidRDefault="00300872" w:rsidP="003008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3CBA3225" w14:textId="14C29B80" w:rsidR="00300872" w:rsidRPr="00300872" w:rsidRDefault="00300872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872">
              <w:rPr>
                <w:rFonts w:ascii="Arial" w:hAnsi="Arial" w:cs="Arial"/>
                <w:bCs/>
              </w:rPr>
              <w:t>Liczba podmiotów wspartych w zakresie rozwoju usług, produktów i procesów cyfrowych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228491" w14:textId="214F3E22" w:rsidR="00300872" w:rsidRDefault="00300872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D448153" w14:textId="4A2F90CE" w:rsidR="00300872" w:rsidRPr="00300872" w:rsidRDefault="00300872" w:rsidP="001D1CE2">
            <w:pPr>
              <w:rPr>
                <w:rFonts w:ascii="Arial" w:hAnsi="Arial" w:cs="Arial"/>
              </w:rPr>
            </w:pPr>
            <w:r w:rsidRPr="00300872">
              <w:rPr>
                <w:rFonts w:ascii="Arial" w:hAnsi="Arial" w:cs="Arial"/>
              </w:rPr>
              <w:t>Liczba instytucji, którym udzielono wsparcia w celu rozwoju lub istotnej modernizacji usług, produktów i procesów cyfrowych w kontekście działań e-administracji. Wskaźnik obejmuje podmioty takie jak instytucje podległe urzędom lub przez nie nadzorowane (np. instytuty, uczelnie).</w:t>
            </w:r>
          </w:p>
        </w:tc>
      </w:tr>
      <w:tr w:rsidR="00401CB5" w:rsidRPr="000D2CEC" w14:paraId="229D9203" w14:textId="77777777" w:rsidTr="001954AD">
        <w:trPr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6E28" w14:textId="0195C17F" w:rsidR="00401CB5" w:rsidRPr="00286EA5" w:rsidRDefault="00300872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6EA5" w:rsidRPr="00286EA5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BC1C" w14:textId="26BEA755" w:rsidR="00401CB5" w:rsidRPr="00FA0B22" w:rsidRDefault="00A373EF" w:rsidP="001D1C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73EF">
              <w:rPr>
                <w:rFonts w:ascii="Arial" w:hAnsi="Arial" w:cs="Arial"/>
                <w:sz w:val="22"/>
                <w:szCs w:val="22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7A2E" w14:textId="6BD8EB9B" w:rsidR="00401CB5" w:rsidRPr="000D2CEC" w:rsidRDefault="00A373EF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65C3F" w14:textId="71B2FD06" w:rsidR="00401CB5" w:rsidRPr="009F2F08" w:rsidRDefault="00A373EF" w:rsidP="001D1CE2">
            <w:pPr>
              <w:rPr>
                <w:rFonts w:eastAsiaTheme="minorHAnsi"/>
              </w:rPr>
            </w:pPr>
            <w:r w:rsidRPr="00A373EF">
              <w:rPr>
                <w:rFonts w:ascii="Arial" w:hAnsi="Arial" w:cs="Arial"/>
              </w:rPr>
              <w:t>Racjonalne usprawnienie oznacza konieczne i odpowiednie zmiany oraz dostosowania, nie nakładające nieproporcjonalnego lub nadmiernego obciążenia, rozpatrywane osobno dla każdego 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 w 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usprawnień, jak i dedykowane (zgodnie z kategoryzacją projektów z  Wytycznych w zakresie realizacji zasad równościowych  w ramach funduszy unijnych na lata 2021-2027). 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 Definicja na podstawie:</w:t>
            </w:r>
            <w:r w:rsidR="00A973A3">
              <w:rPr>
                <w:rFonts w:ascii="Arial" w:hAnsi="Arial" w:cs="Arial"/>
              </w:rPr>
              <w:t xml:space="preserve"> </w:t>
            </w:r>
            <w:r w:rsidRPr="00A373EF">
              <w:rPr>
                <w:rFonts w:ascii="Arial" w:hAnsi="Arial" w:cs="Arial"/>
              </w:rPr>
              <w:t>Wytyczne w zakresie realizacji zasad równościowych  w ramach funduszy unijnych na lata 2021-2027.</w:t>
            </w:r>
          </w:p>
        </w:tc>
      </w:tr>
      <w:tr w:rsidR="00401CB5" w:rsidRPr="000D2CEC" w14:paraId="42A644C6" w14:textId="77777777" w:rsidTr="001954AD">
        <w:trPr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74E9D" w14:textId="48F656E8" w:rsidR="00401CB5" w:rsidRPr="00286EA5" w:rsidRDefault="00300872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99E1" w14:textId="7EC24C5A" w:rsidR="00401CB5" w:rsidRPr="000D2CEC" w:rsidRDefault="00300872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872">
              <w:rPr>
                <w:rFonts w:ascii="Arial" w:hAnsi="Arial" w:cs="Arial"/>
              </w:rPr>
              <w:t xml:space="preserve">Liczba rozwiązań wykorzystujących informacje sektora publicznego/dane prywatne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17BE" w14:textId="77777777" w:rsidR="00401CB5" w:rsidRPr="000D2CEC" w:rsidRDefault="00401CB5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6E1E" w14:textId="525F001C" w:rsidR="00401CB5" w:rsidRPr="000D2CEC" w:rsidRDefault="00300872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872">
              <w:rPr>
                <w:rFonts w:ascii="Arial" w:hAnsi="Arial" w:cs="Arial"/>
              </w:rPr>
              <w:t>Liczba rozwiązań/produktów (podjętych inicjatyw), mających na celu wykorzystanie udostępnionych danych sektora publicznego lub prywatnego, a także promowanie i wspieranie dzielenia się danymi.    Przedsięwzięcia, jakie mogą być realizowane to m.in.:   rozwijanie e-usług opartych o otwarte dane, działania wspierające wykorzystanie i analitykę danych (przez przedsiębiorstwa), rozwijanie infrastruktury wymiany danych - tworzenie platform oraz partnerstw służących gromadzeniu i wymianie danych między przedsiębiorstwami jako narzędzi wspierających dzielenie się danymi, zwiększenie wymiany danych G2B i B2G, w tym w oparciu o przesłankę interesu publicznego, stymulowanie ponownego wykorzystania danych (w przedsiębiorstwach) oraz zwiększenia podaży danych o wysokim potencjale wykorzystania.</w:t>
            </w:r>
          </w:p>
        </w:tc>
      </w:tr>
      <w:tr w:rsidR="00401CB5" w:rsidRPr="000D2CEC" w14:paraId="4D747748" w14:textId="77777777" w:rsidTr="001954AD">
        <w:trPr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92B87" w14:textId="4FD65EDB" w:rsidR="00401CB5" w:rsidRPr="00286EA5" w:rsidRDefault="00300872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C253" w14:textId="103D3780" w:rsidR="00401CB5" w:rsidRPr="007168F0" w:rsidRDefault="00300872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872">
              <w:rPr>
                <w:rFonts w:ascii="Arial" w:hAnsi="Arial" w:cs="Arial"/>
              </w:rPr>
              <w:t>Liczba usług publicznych udostępnionych on-line o stopniu dojrzałości 3 - dwustronna interakcja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BDEB" w14:textId="77777777" w:rsidR="00401CB5" w:rsidRPr="007168F0" w:rsidRDefault="00401CB5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168F0">
              <w:rPr>
                <w:rFonts w:ascii="Arial" w:hAnsi="Arial" w:cs="Arial"/>
              </w:rPr>
              <w:t xml:space="preserve">zt.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EE001" w14:textId="6BF745A3" w:rsidR="00401CB5" w:rsidRPr="00300872" w:rsidRDefault="00300872" w:rsidP="00300872">
            <w:pPr>
              <w:ind w:left="39"/>
              <w:rPr>
                <w:rFonts w:ascii="Arial" w:hAnsi="Arial" w:cs="Arial"/>
              </w:rPr>
            </w:pPr>
            <w:r w:rsidRPr="00300872">
              <w:rPr>
                <w:rFonts w:ascii="Arial" w:hAnsi="Arial" w:cs="Arial"/>
              </w:rPr>
              <w:t>Usługa on-line o stopniu dojrzałości 3 umożliwia transfer danych w dwóch kierunkach: od usługodawcy do klienta oraz od klienta do usługodawcy. Typowym sposobem jej realizacji jest pobranie, wypełnienie i odesłanie formularza dro</w:t>
            </w:r>
            <w:r>
              <w:rPr>
                <w:rFonts w:ascii="Arial" w:hAnsi="Arial" w:cs="Arial"/>
              </w:rPr>
              <w:t xml:space="preserve">gą elektroniczną. </w:t>
            </w:r>
            <w:r w:rsidRPr="00300872">
              <w:rPr>
                <w:rFonts w:ascii="Arial" w:hAnsi="Arial" w:cs="Arial"/>
              </w:rPr>
              <w:t>Ten poziom dojrzałości dopuszcza, aby dokumenty lub inne obiekty fizyczne były dostarczane drogą tradycyjną, łącznie z osobistym stawiennictwem obywatel</w:t>
            </w:r>
            <w:r>
              <w:rPr>
                <w:rFonts w:ascii="Arial" w:hAnsi="Arial" w:cs="Arial"/>
              </w:rPr>
              <w:t xml:space="preserve">a lub przedsiębiorcy w urzędzie. </w:t>
            </w:r>
            <w:r w:rsidRPr="00300872">
              <w:rPr>
                <w:rFonts w:ascii="Arial" w:hAnsi="Arial" w:cs="Arial"/>
              </w:rPr>
              <w:t>W ramach wskaź</w:t>
            </w:r>
            <w:r w:rsidR="00D71A1F">
              <w:rPr>
                <w:rFonts w:ascii="Arial" w:hAnsi="Arial" w:cs="Arial"/>
              </w:rPr>
              <w:t xml:space="preserve">nika należy ujmować usługi: </w:t>
            </w:r>
            <w:r w:rsidRPr="00300872">
              <w:rPr>
                <w:rFonts w:ascii="Arial" w:hAnsi="Arial" w:cs="Arial"/>
              </w:rPr>
              <w:t>nowe</w:t>
            </w:r>
            <w:r w:rsidR="00D71A1F">
              <w:rPr>
                <w:rFonts w:ascii="Arial" w:hAnsi="Arial" w:cs="Arial"/>
              </w:rPr>
              <w:t xml:space="preserve"> lub istotnie udoskonalone, </w:t>
            </w:r>
            <w:r w:rsidRPr="00300872">
              <w:rPr>
                <w:rFonts w:ascii="Arial" w:hAnsi="Arial" w:cs="Arial"/>
              </w:rPr>
              <w:t xml:space="preserve">skierowane do klientów spoza administracji publicznej: obywateli (usługi A2C, Administration to </w:t>
            </w:r>
            <w:proofErr w:type="spellStart"/>
            <w:r w:rsidRPr="00300872">
              <w:rPr>
                <w:rFonts w:ascii="Arial" w:hAnsi="Arial" w:cs="Arial"/>
              </w:rPr>
              <w:t>Customer</w:t>
            </w:r>
            <w:proofErr w:type="spellEnd"/>
            <w:r w:rsidRPr="00300872">
              <w:rPr>
                <w:rFonts w:ascii="Arial" w:hAnsi="Arial" w:cs="Arial"/>
              </w:rPr>
              <w:t>) i/lub przedsiębiorców (A2B, Administration to Business). Powyższe warunki należy traktować łącznie.</w:t>
            </w:r>
          </w:p>
        </w:tc>
      </w:tr>
      <w:tr w:rsidR="00401CB5" w:rsidRPr="000D2CEC" w14:paraId="668BEF0F" w14:textId="77777777" w:rsidTr="001954AD">
        <w:trPr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0D4BC" w14:textId="071098F8" w:rsidR="00401CB5" w:rsidRPr="00286EA5" w:rsidRDefault="00300872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83B11" w14:textId="09665BEF" w:rsidR="00401CB5" w:rsidRPr="00A6219D" w:rsidRDefault="00300872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872">
              <w:rPr>
                <w:rFonts w:ascii="Arial" w:hAnsi="Arial" w:cs="Arial"/>
              </w:rPr>
              <w:t>Liczba usług publicznych udostępnionych on-line o stopniu dojrzałości co najmniej 4 - transakcja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EE2CE" w14:textId="77777777" w:rsidR="00401CB5" w:rsidRPr="00A6219D" w:rsidRDefault="00401CB5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219D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93E1" w14:textId="4363B811" w:rsidR="00401CB5" w:rsidRPr="00A6219D" w:rsidRDefault="00D71A1F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1A1F">
              <w:rPr>
                <w:rFonts w:ascii="Arial" w:hAnsi="Arial" w:cs="Arial"/>
              </w:rPr>
              <w:t>Usługa on-line o stopniu dojrzałości 4 umożliwia pełne załatwienie danej sprawy drogą elektroniczną, ł</w:t>
            </w:r>
            <w:r>
              <w:rPr>
                <w:rFonts w:ascii="Arial" w:hAnsi="Arial" w:cs="Arial"/>
              </w:rPr>
              <w:t xml:space="preserve">ącznie z ewentualną płatnością. </w:t>
            </w:r>
            <w:r w:rsidRPr="00D71A1F">
              <w:rPr>
                <w:rFonts w:ascii="Arial" w:hAnsi="Arial" w:cs="Arial"/>
              </w:rPr>
              <w:t xml:space="preserve">W ramach wskaźnika należy ujmować również usługi o stopniu dojrzałości 5, czyli takie, które oprócz możliwości pełnego załatwienia danej sprawy zawierają dodatkowo mechanizmy personalizacji, tj. dostosowania sposobu świadczenia do szczególnych uwarunkowań i potrzeb klienta (np. oferowanie częściowo wypełnionych formularzy, poinformowanie klienta </w:t>
            </w:r>
            <w:proofErr w:type="spellStart"/>
            <w:r w:rsidRPr="00D71A1F">
              <w:rPr>
                <w:rFonts w:ascii="Arial" w:hAnsi="Arial" w:cs="Arial"/>
              </w:rPr>
              <w:t>sms-em</w:t>
            </w:r>
            <w:proofErr w:type="spellEnd"/>
            <w:r w:rsidRPr="00D71A1F">
              <w:rPr>
                <w:rFonts w:ascii="Arial" w:hAnsi="Arial" w:cs="Arial"/>
              </w:rPr>
              <w:t xml:space="preserve"> o zbliżającej się potrzebie wykonania</w:t>
            </w:r>
            <w:r>
              <w:rPr>
                <w:rFonts w:ascii="Arial" w:hAnsi="Arial" w:cs="Arial"/>
              </w:rPr>
              <w:t xml:space="preserve"> danej czynności urzędowej). </w:t>
            </w:r>
            <w:r w:rsidRPr="00D71A1F">
              <w:rPr>
                <w:rFonts w:ascii="Arial" w:hAnsi="Arial" w:cs="Arial"/>
              </w:rPr>
              <w:t>W ramach wskaź</w:t>
            </w:r>
            <w:r>
              <w:rPr>
                <w:rFonts w:ascii="Arial" w:hAnsi="Arial" w:cs="Arial"/>
              </w:rPr>
              <w:t xml:space="preserve">nika należy ujmować usługi: nowe lub znacząco zmodernizowane, </w:t>
            </w:r>
            <w:r w:rsidRPr="00D71A1F">
              <w:rPr>
                <w:rFonts w:ascii="Arial" w:hAnsi="Arial" w:cs="Arial"/>
              </w:rPr>
              <w:t xml:space="preserve">skierowane do klientów spoza administracji publicznej: obywateli (usługi A2C, Administration to </w:t>
            </w:r>
            <w:proofErr w:type="spellStart"/>
            <w:r w:rsidRPr="00D71A1F">
              <w:rPr>
                <w:rFonts w:ascii="Arial" w:hAnsi="Arial" w:cs="Arial"/>
              </w:rPr>
              <w:t>Customer</w:t>
            </w:r>
            <w:proofErr w:type="spellEnd"/>
            <w:r w:rsidRPr="00D71A1F">
              <w:rPr>
                <w:rFonts w:ascii="Arial" w:hAnsi="Arial" w:cs="Arial"/>
              </w:rPr>
              <w:t>) i/lub przedsiębiorców (A2B, Administration to Business). Powyższe warunki należy traktować łącznie.</w:t>
            </w:r>
          </w:p>
        </w:tc>
      </w:tr>
    </w:tbl>
    <w:p w14:paraId="750D68D3" w14:textId="77777777" w:rsidR="006C4816" w:rsidRDefault="006C4816">
      <w:pPr>
        <w:rPr>
          <w:rFonts w:ascii="Arial" w:eastAsiaTheme="majorEastAsia" w:hAnsi="Arial" w:cstheme="majorBidi"/>
          <w:b/>
          <w:color w:val="0D0D0D" w:themeColor="text1" w:themeTint="F2"/>
          <w:sz w:val="24"/>
          <w:szCs w:val="24"/>
        </w:rPr>
      </w:pPr>
      <w:r>
        <w:br w:type="page"/>
      </w:r>
    </w:p>
    <w:p w14:paraId="167803C0" w14:textId="1575A99A" w:rsidR="00A71941" w:rsidRPr="00A71941" w:rsidRDefault="00D70932" w:rsidP="00A71941">
      <w:pPr>
        <w:pStyle w:val="Nagwek3"/>
        <w:numPr>
          <w:ilvl w:val="0"/>
          <w:numId w:val="20"/>
        </w:numPr>
      </w:pPr>
      <w:r w:rsidRPr="009A6E89">
        <w:lastRenderedPageBreak/>
        <w:t>Wskaźniki rezultatu</w:t>
      </w:r>
    </w:p>
    <w:tbl>
      <w:tblPr>
        <w:tblStyle w:val="Tabela-Siatka"/>
        <w:tblpPr w:leftFromText="141" w:rightFromText="141" w:vertAnchor="text" w:tblpX="988" w:tblpY="1"/>
        <w:tblOverlap w:val="never"/>
        <w:tblW w:w="0" w:type="auto"/>
        <w:tblLook w:val="04A0" w:firstRow="1" w:lastRow="0" w:firstColumn="1" w:lastColumn="0" w:noHBand="0" w:noVBand="1"/>
        <w:tblCaption w:val="Wskaźniki rezultatu"/>
        <w:tblDescription w:val="Tabela zawiera wskaźniki rezultatu"/>
      </w:tblPr>
      <w:tblGrid>
        <w:gridCol w:w="708"/>
        <w:gridCol w:w="3398"/>
        <w:gridCol w:w="1537"/>
        <w:gridCol w:w="7365"/>
      </w:tblGrid>
      <w:tr w:rsidR="009C6524" w14:paraId="3D203ED1" w14:textId="77777777" w:rsidTr="00A71941">
        <w:trPr>
          <w:trHeight w:val="697"/>
          <w:tblHeader/>
        </w:trPr>
        <w:tc>
          <w:tcPr>
            <w:tcW w:w="708" w:type="dxa"/>
            <w:vAlign w:val="center"/>
          </w:tcPr>
          <w:p w14:paraId="10E91D36" w14:textId="6CCBF1E0" w:rsidR="009C6524" w:rsidRDefault="009C6524" w:rsidP="00A71941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398" w:type="dxa"/>
            <w:vAlign w:val="center"/>
          </w:tcPr>
          <w:p w14:paraId="5A1247CE" w14:textId="670B14D6" w:rsidR="009C6524" w:rsidRDefault="009C6524" w:rsidP="00A71941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537" w:type="dxa"/>
            <w:vAlign w:val="center"/>
          </w:tcPr>
          <w:p w14:paraId="0A59839B" w14:textId="2F2B3653" w:rsidR="009C6524" w:rsidRDefault="009C6524" w:rsidP="00A71941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7365" w:type="dxa"/>
            <w:vAlign w:val="center"/>
          </w:tcPr>
          <w:p w14:paraId="271A75A7" w14:textId="27CFED2A" w:rsidR="009C6524" w:rsidRDefault="009C6524" w:rsidP="00A71941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9C6524" w14:paraId="2571CDD4" w14:textId="77777777" w:rsidTr="00A71941">
        <w:tc>
          <w:tcPr>
            <w:tcW w:w="708" w:type="dxa"/>
            <w:vAlign w:val="center"/>
          </w:tcPr>
          <w:p w14:paraId="73E83979" w14:textId="456781E2" w:rsidR="009C6524" w:rsidRDefault="009C6524" w:rsidP="00A71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8" w:type="dxa"/>
            <w:vAlign w:val="center"/>
          </w:tcPr>
          <w:p w14:paraId="2EF1CFF8" w14:textId="5CA7C93B" w:rsidR="009C6524" w:rsidRPr="00607F72" w:rsidRDefault="00D71A1F" w:rsidP="00A71941">
            <w:pPr>
              <w:rPr>
                <w:rFonts w:ascii="Arial" w:hAnsi="Arial" w:cs="Arial"/>
                <w:bCs/>
              </w:rPr>
            </w:pPr>
            <w:r w:rsidRPr="00D71A1F">
              <w:rPr>
                <w:rFonts w:ascii="Arial" w:hAnsi="Arial" w:cs="Arial"/>
                <w:bCs/>
              </w:rPr>
              <w:t>Użytkownicy nowych i zmodernizowanych publicznych usług, produktów i procesów cyfrowych</w:t>
            </w:r>
          </w:p>
        </w:tc>
        <w:tc>
          <w:tcPr>
            <w:tcW w:w="1537" w:type="dxa"/>
            <w:vAlign w:val="center"/>
          </w:tcPr>
          <w:p w14:paraId="0DC41E0F" w14:textId="646655FA" w:rsidR="009C6524" w:rsidRPr="00607F72" w:rsidRDefault="00D71A1F" w:rsidP="00D71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użytkownicy</w:t>
            </w:r>
            <w:r w:rsidR="009C6524">
              <w:rPr>
                <w:rFonts w:ascii="Arial" w:hAnsi="Arial" w:cs="Arial"/>
              </w:rPr>
              <w:t xml:space="preserve"> </w:t>
            </w:r>
            <w:r w:rsidR="009C6524" w:rsidRPr="00607F72">
              <w:rPr>
                <w:rFonts w:ascii="Arial" w:hAnsi="Arial" w:cs="Arial"/>
              </w:rPr>
              <w:t>/rok</w:t>
            </w:r>
          </w:p>
        </w:tc>
        <w:tc>
          <w:tcPr>
            <w:tcW w:w="7365" w:type="dxa"/>
            <w:vAlign w:val="center"/>
          </w:tcPr>
          <w:p w14:paraId="37C1EB6F" w14:textId="0E8F7F3D" w:rsidR="009C6524" w:rsidRPr="00607F72" w:rsidRDefault="00D71A1F" w:rsidP="00A71941">
            <w:pPr>
              <w:rPr>
                <w:rFonts w:ascii="Arial" w:hAnsi="Arial" w:cs="Arial"/>
              </w:rPr>
            </w:pPr>
            <w:r w:rsidRPr="00D71A1F">
              <w:rPr>
                <w:rFonts w:ascii="Arial" w:hAnsi="Arial" w:cs="Arial"/>
              </w:rPr>
              <w:t>Roczna liczba użytkowników nowo opracowanych lub znacząco zmodernizowanych publicznych usług, produktów i procesów cyfrowych. Znaczące modernizacje obejmuj</w:t>
            </w:r>
            <w:r>
              <w:rPr>
                <w:rFonts w:ascii="Arial" w:hAnsi="Arial" w:cs="Arial"/>
              </w:rPr>
              <w:t xml:space="preserve">ą tylko nowe funkcjonalności. </w:t>
            </w:r>
            <w:r w:rsidRPr="00D71A1F">
              <w:rPr>
                <w:rFonts w:ascii="Arial" w:hAnsi="Arial" w:cs="Arial"/>
              </w:rPr>
              <w:t>Wskaźnik ma wartość bazową 0 tylko wtedy, gdy usługa, produkt lub proces cyfrowy są nowe. Użytkownicy odnoszą się do klientów nowo opracowanych lub zmodernizowanych publicznych usług i produktów oraz do pracowników instytucji publicznej korzystających z nowo opracowanych lub znacząco zmodernizowanych procesów cyfrowych.</w:t>
            </w:r>
          </w:p>
        </w:tc>
      </w:tr>
    </w:tbl>
    <w:p w14:paraId="69FC92D4" w14:textId="01027DF2" w:rsidR="00A71941" w:rsidRDefault="00A71941" w:rsidP="00A71941">
      <w:pPr>
        <w:pStyle w:val="Nagwek3"/>
        <w:rPr>
          <w:rFonts w:cs="Arial"/>
          <w:lang w:eastAsia="ko-KR"/>
        </w:rPr>
      </w:pPr>
      <w:r>
        <w:t>I</w:t>
      </w:r>
      <w:r w:rsidRPr="00A71941">
        <w:t>nformacje dotyczące wyboru wskaźników.</w:t>
      </w:r>
    </w:p>
    <w:p w14:paraId="30F4EE63" w14:textId="74C63688" w:rsidR="006229D7" w:rsidRPr="009A6E89" w:rsidRDefault="00A71941" w:rsidP="003B27A5">
      <w:pPr>
        <w:ind w:left="567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 xml:space="preserve">1. </w:t>
      </w:r>
      <w:r w:rsidR="00A00E09" w:rsidRPr="00721E52">
        <w:rPr>
          <w:rFonts w:ascii="Arial" w:hAnsi="Arial" w:cs="Arial"/>
          <w:lang w:eastAsia="ko-KR"/>
        </w:rPr>
        <w:t>Planowane przedsięwzięcie należy opisać za pomocą wskaźników ustalonych dla danego naboru wniosków o dofinansowanie, zgodnie powyższą listą.</w:t>
      </w:r>
      <w:r w:rsidR="00A00E09" w:rsidRPr="00721E52">
        <w:rPr>
          <w:rFonts w:ascii="Arial" w:hAnsi="Arial" w:cs="Arial"/>
        </w:rPr>
        <w:t xml:space="preserve"> </w:t>
      </w:r>
      <w:r w:rsidR="00721E52">
        <w:rPr>
          <w:rFonts w:ascii="Arial" w:hAnsi="Arial" w:cs="Arial"/>
        </w:rPr>
        <w:br/>
      </w:r>
      <w:r w:rsidR="00721E52">
        <w:rPr>
          <w:rFonts w:ascii="Arial" w:hAnsi="Arial" w:cs="Arial"/>
          <w:lang w:eastAsia="ko-KR"/>
        </w:rPr>
        <w:t xml:space="preserve">2. </w:t>
      </w:r>
      <w:r w:rsidR="00A00E09" w:rsidRPr="00721E52">
        <w:rPr>
          <w:rFonts w:ascii="Arial" w:hAnsi="Arial" w:cs="Arial"/>
          <w:lang w:eastAsia="ko-KR"/>
        </w:rPr>
        <w:t xml:space="preserve">Wskaźniki </w:t>
      </w:r>
      <w:r w:rsidR="00A00E09" w:rsidRPr="00721E52">
        <w:rPr>
          <w:rFonts w:ascii="Arial" w:hAnsi="Arial" w:cs="Arial"/>
          <w:u w:val="single"/>
          <w:lang w:eastAsia="ko-KR"/>
        </w:rPr>
        <w:t>produktu</w:t>
      </w:r>
      <w:r w:rsidR="00A00E09" w:rsidRPr="00721E52">
        <w:rPr>
          <w:rFonts w:ascii="Arial" w:hAnsi="Arial" w:cs="Arial"/>
          <w:lang w:eastAsia="ko-KR"/>
        </w:rPr>
        <w:t xml:space="preserve"> odnoszą się do </w:t>
      </w:r>
      <w:r w:rsidR="00A00E09" w:rsidRPr="00721E52">
        <w:rPr>
          <w:rFonts w:ascii="Arial" w:hAnsi="Arial" w:cs="Arial"/>
        </w:rPr>
        <w:t>bezpośrednich, materialnych efektów realizacji przedsięwzięcia, które można zmierzyć konkretnymi wielkościami fizycznymi.</w:t>
      </w:r>
      <w:r w:rsidR="000C2340" w:rsidRPr="00721E52">
        <w:rPr>
          <w:rFonts w:ascii="Arial" w:hAnsi="Arial" w:cs="Arial"/>
        </w:rPr>
        <w:t xml:space="preserve"> Powiązane są bezpośrednio z wydatkami ponoszonymi w projekcie.</w:t>
      </w:r>
      <w:r w:rsidR="00A00E09" w:rsidRPr="00721E52">
        <w:rPr>
          <w:rFonts w:ascii="Arial" w:hAnsi="Arial" w:cs="Arial"/>
        </w:rPr>
        <w:t xml:space="preserve"> Wartości uzyskanych produktów wynikać będą najczęściej z protokołów odbioru robót, dostaw i usług, inwentaryzacji geodezyjnej powykonawczej i innych dokumentów związanych z rozliczeniami inwestora z wykonawcą. Wskaźniki produktu występują z dniem odbioru i</w:t>
      </w:r>
      <w:r w:rsidR="003B27A5">
        <w:rPr>
          <w:rFonts w:ascii="Arial" w:hAnsi="Arial" w:cs="Arial"/>
        </w:rPr>
        <w:t xml:space="preserve"> </w:t>
      </w:r>
      <w:r w:rsidR="00A00E09" w:rsidRPr="00721E52">
        <w:rPr>
          <w:rFonts w:ascii="Arial" w:hAnsi="Arial" w:cs="Arial"/>
        </w:rPr>
        <w:t>przekazania inwestycji do użytkowania.</w:t>
      </w:r>
      <w:r w:rsidR="00721E52">
        <w:rPr>
          <w:rFonts w:ascii="Arial" w:hAnsi="Arial" w:cs="Arial"/>
        </w:rPr>
        <w:br/>
        <w:t xml:space="preserve">3. </w:t>
      </w:r>
      <w:r w:rsidR="00A00E09" w:rsidRPr="00A770DD">
        <w:rPr>
          <w:rFonts w:ascii="Arial" w:hAnsi="Arial" w:cs="Arial"/>
          <w:u w:val="single"/>
        </w:rPr>
        <w:t>Rezultaty</w:t>
      </w:r>
      <w:r w:rsidR="00A00E09" w:rsidRPr="00A770DD">
        <w:rPr>
          <w:rFonts w:ascii="Arial" w:hAnsi="Arial" w:cs="Arial"/>
        </w:rPr>
        <w:t xml:space="preserve"> opisują wpływ zrealizowanego przedsięwzięcia na grupy docelowe (np. </w:t>
      </w:r>
      <w:r w:rsidR="000C2340" w:rsidRPr="00607F72">
        <w:rPr>
          <w:rFonts w:ascii="Arial" w:hAnsi="Arial" w:cs="Arial"/>
          <w:bCs/>
        </w:rPr>
        <w:t>Liczba osób odwiedzających obiekty kulturalne i turystyczne objęte wsparciem</w:t>
      </w:r>
      <w:r w:rsidR="006F578F" w:rsidRPr="00A770DD">
        <w:rPr>
          <w:rFonts w:ascii="Arial" w:hAnsi="Arial" w:cs="Arial"/>
        </w:rPr>
        <w:t xml:space="preserve">) </w:t>
      </w:r>
      <w:r w:rsidR="000B7F1A" w:rsidRPr="00F90446">
        <w:rPr>
          <w:rFonts w:ascii="Arial" w:hAnsi="Arial" w:cs="Arial"/>
        </w:rPr>
        <w:t xml:space="preserve">uzyskany po zakończeniu realizacji </w:t>
      </w:r>
      <w:r w:rsidR="000B7F1A" w:rsidRPr="00DB0D2C">
        <w:rPr>
          <w:rFonts w:ascii="Arial" w:hAnsi="Arial" w:cs="Arial"/>
        </w:rPr>
        <w:t>projektu</w:t>
      </w:r>
      <w:r w:rsidR="000C2340">
        <w:rPr>
          <w:rFonts w:ascii="Arial" w:hAnsi="Arial" w:cs="Arial"/>
        </w:rPr>
        <w:t>.</w:t>
      </w:r>
      <w:r w:rsidR="00721E52">
        <w:rPr>
          <w:rFonts w:ascii="Arial" w:hAnsi="Arial" w:cs="Arial"/>
        </w:rPr>
        <w:br/>
      </w:r>
      <w:r w:rsidR="00A00E09" w:rsidRPr="00A770DD">
        <w:rPr>
          <w:rFonts w:ascii="Arial" w:hAnsi="Arial" w:cs="Arial"/>
        </w:rPr>
        <w:t>Wsk</w:t>
      </w:r>
      <w:r w:rsidR="006F578F" w:rsidRPr="00A770DD">
        <w:rPr>
          <w:rFonts w:ascii="Arial" w:hAnsi="Arial" w:cs="Arial"/>
        </w:rPr>
        <w:t xml:space="preserve">aźniki rezultatów są niezbędne </w:t>
      </w:r>
      <w:r w:rsidR="00A00E09" w:rsidRPr="00A770DD">
        <w:rPr>
          <w:rFonts w:ascii="Arial" w:hAnsi="Arial" w:cs="Arial"/>
        </w:rPr>
        <w:t>do monitorowania efektów realizacji projektów i Programu.</w:t>
      </w:r>
      <w:r w:rsidR="00A00E09" w:rsidRPr="00A770DD">
        <w:rPr>
          <w:rFonts w:ascii="Arial" w:hAnsi="Arial" w:cs="Arial"/>
          <w:lang w:eastAsia="ko-KR"/>
        </w:rPr>
        <w:t xml:space="preserve"> </w:t>
      </w:r>
      <w:r w:rsidR="00A00E09" w:rsidRPr="00A770DD">
        <w:rPr>
          <w:rFonts w:ascii="Arial" w:hAnsi="Arial" w:cs="Arial"/>
        </w:rPr>
        <w:t>Wartości należy podać zgodnie z</w:t>
      </w:r>
      <w:r w:rsidR="00A973A3">
        <w:rPr>
          <w:rFonts w:ascii="Arial" w:hAnsi="Arial" w:cs="Arial"/>
        </w:rPr>
        <w:t xml:space="preserve"> </w:t>
      </w:r>
      <w:r w:rsidR="00A00E09" w:rsidRPr="00A770DD">
        <w:rPr>
          <w:rFonts w:ascii="Arial" w:hAnsi="Arial" w:cs="Arial"/>
        </w:rPr>
        <w:t>ustaloną dla danego wskaźnika jednostką miary.</w:t>
      </w:r>
      <w:r w:rsidR="00721E52">
        <w:rPr>
          <w:rFonts w:ascii="Arial" w:hAnsi="Arial" w:cs="Arial"/>
        </w:rPr>
        <w:br/>
        <w:t xml:space="preserve">4. </w:t>
      </w:r>
      <w:r w:rsidR="00A00E09" w:rsidRPr="00721E52">
        <w:rPr>
          <w:rFonts w:ascii="Arial" w:hAnsi="Arial" w:cs="Arial"/>
        </w:rPr>
        <w:t>Wskaźniki należy oszacować rzetelnie mając na uwadze, że Wnioskodawca jest zobowiązany do monitorowania postępu w zakresie ich osiągania oraz będzie rozliczany z ich wypełnienia.</w:t>
      </w:r>
      <w:r w:rsidR="00721E52">
        <w:rPr>
          <w:rFonts w:ascii="Arial" w:hAnsi="Arial" w:cs="Arial"/>
        </w:rPr>
        <w:br/>
        <w:t xml:space="preserve">5. </w:t>
      </w:r>
      <w:r w:rsidR="009A6E89" w:rsidRPr="00DD48EC">
        <w:rPr>
          <w:rFonts w:ascii="Arial" w:hAnsi="Arial" w:cs="Arial"/>
          <w:color w:val="000000" w:themeColor="text1"/>
        </w:rPr>
        <w:t>Dla każdego projektu należy obligatoryjnie wybrać wszystkie kluczowe wskaźniki produktu i rezultatu adekwatne do zakresu i celu projektu.</w:t>
      </w:r>
      <w:r w:rsidR="00721E52">
        <w:rPr>
          <w:rFonts w:ascii="Arial" w:hAnsi="Arial" w:cs="Arial"/>
          <w:color w:val="000000" w:themeColor="text1"/>
        </w:rPr>
        <w:br/>
        <w:t xml:space="preserve">6. </w:t>
      </w:r>
      <w:r w:rsidR="00A00E09" w:rsidRPr="009A6E89">
        <w:rPr>
          <w:rFonts w:ascii="Arial" w:hAnsi="Arial" w:cs="Arial"/>
        </w:rPr>
        <w:t>Dodatkowe informacje na temat wskaźników podano w Instrukcji wypełniania wniosku</w:t>
      </w:r>
      <w:r w:rsidR="000C2340" w:rsidRPr="009A6E89">
        <w:rPr>
          <w:rFonts w:ascii="Arial" w:hAnsi="Arial" w:cs="Arial"/>
        </w:rPr>
        <w:t>.</w:t>
      </w:r>
      <w:r w:rsidR="00A00E09" w:rsidRPr="009A6E89">
        <w:rPr>
          <w:rFonts w:ascii="Arial" w:hAnsi="Arial" w:cs="Arial"/>
        </w:rPr>
        <w:t xml:space="preserve"> </w:t>
      </w:r>
    </w:p>
    <w:sectPr w:rsidR="006229D7" w:rsidRPr="009A6E89" w:rsidSect="00BA2F5A">
      <w:headerReference w:type="default" r:id="rId8"/>
      <w:footerReference w:type="even" r:id="rId9"/>
      <w:footerReference w:type="default" r:id="rId10"/>
      <w:pgSz w:w="16838" w:h="11906" w:orient="landscape"/>
      <w:pgMar w:top="1418" w:right="1258" w:bottom="1077" w:left="107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5B8EC" w14:textId="77777777" w:rsidR="009D5796" w:rsidRDefault="009D5796" w:rsidP="00E865C7">
      <w:r>
        <w:separator/>
      </w:r>
    </w:p>
  </w:endnote>
  <w:endnote w:type="continuationSeparator" w:id="0">
    <w:p w14:paraId="2D4AB60A" w14:textId="77777777" w:rsidR="009D5796" w:rsidRDefault="009D5796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28B9" w14:textId="02B67BEC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11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56C1" w14:textId="77777777" w:rsidR="009D5796" w:rsidRDefault="009D5796" w:rsidP="00E865C7">
      <w:r>
        <w:separator/>
      </w:r>
    </w:p>
  </w:footnote>
  <w:footnote w:type="continuationSeparator" w:id="0">
    <w:p w14:paraId="16B810C8" w14:textId="77777777" w:rsidR="009D5796" w:rsidRDefault="009D5796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D33C3" w14:textId="62A1CD78" w:rsidR="00DB0D2C" w:rsidRDefault="00097FED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454728C" wp14:editId="7C0A2134">
          <wp:extent cx="7767528" cy="626745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B7ACD08E"/>
    <w:lvl w:ilvl="0" w:tplc="4E9407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2A0D"/>
    <w:multiLevelType w:val="hybridMultilevel"/>
    <w:tmpl w:val="0FC2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19"/>
  </w:num>
  <w:num w:numId="17">
    <w:abstractNumId w:val="15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7"/>
    <w:rsid w:val="000045FF"/>
    <w:rsid w:val="0000794C"/>
    <w:rsid w:val="000100DB"/>
    <w:rsid w:val="00010F79"/>
    <w:rsid w:val="00011C75"/>
    <w:rsid w:val="0001519B"/>
    <w:rsid w:val="00020143"/>
    <w:rsid w:val="000312A3"/>
    <w:rsid w:val="00034F69"/>
    <w:rsid w:val="00037439"/>
    <w:rsid w:val="00053F23"/>
    <w:rsid w:val="00060CDF"/>
    <w:rsid w:val="00074198"/>
    <w:rsid w:val="00075468"/>
    <w:rsid w:val="00094BB7"/>
    <w:rsid w:val="00097FED"/>
    <w:rsid w:val="000A7369"/>
    <w:rsid w:val="000B3D6F"/>
    <w:rsid w:val="000B7F1A"/>
    <w:rsid w:val="000C198C"/>
    <w:rsid w:val="000C2340"/>
    <w:rsid w:val="000D2CEC"/>
    <w:rsid w:val="000E1B8E"/>
    <w:rsid w:val="000E3D9A"/>
    <w:rsid w:val="000E63D4"/>
    <w:rsid w:val="000E7E2C"/>
    <w:rsid w:val="000F1B18"/>
    <w:rsid w:val="000F1CB6"/>
    <w:rsid w:val="000F5AD1"/>
    <w:rsid w:val="00104BFF"/>
    <w:rsid w:val="0010795F"/>
    <w:rsid w:val="00111641"/>
    <w:rsid w:val="00117D9D"/>
    <w:rsid w:val="001248CC"/>
    <w:rsid w:val="0012614B"/>
    <w:rsid w:val="00135261"/>
    <w:rsid w:val="001409FD"/>
    <w:rsid w:val="00142279"/>
    <w:rsid w:val="0014370C"/>
    <w:rsid w:val="00161A89"/>
    <w:rsid w:val="0018395A"/>
    <w:rsid w:val="001943FE"/>
    <w:rsid w:val="001954AD"/>
    <w:rsid w:val="001A18EC"/>
    <w:rsid w:val="001C6183"/>
    <w:rsid w:val="001D1CE2"/>
    <w:rsid w:val="001D2947"/>
    <w:rsid w:val="001D62D5"/>
    <w:rsid w:val="001E036F"/>
    <w:rsid w:val="001E097D"/>
    <w:rsid w:val="001E7968"/>
    <w:rsid w:val="002000CC"/>
    <w:rsid w:val="00210557"/>
    <w:rsid w:val="00236A57"/>
    <w:rsid w:val="00263A18"/>
    <w:rsid w:val="00270F61"/>
    <w:rsid w:val="00271740"/>
    <w:rsid w:val="002760C3"/>
    <w:rsid w:val="00286EA5"/>
    <w:rsid w:val="00292EE8"/>
    <w:rsid w:val="00293719"/>
    <w:rsid w:val="002A35B2"/>
    <w:rsid w:val="002A64D6"/>
    <w:rsid w:val="002B18A1"/>
    <w:rsid w:val="002C18C7"/>
    <w:rsid w:val="002E4877"/>
    <w:rsid w:val="002E5681"/>
    <w:rsid w:val="002F1A1D"/>
    <w:rsid w:val="002F38F9"/>
    <w:rsid w:val="00300872"/>
    <w:rsid w:val="00301320"/>
    <w:rsid w:val="00314EF0"/>
    <w:rsid w:val="0032055E"/>
    <w:rsid w:val="003227CB"/>
    <w:rsid w:val="00324CD0"/>
    <w:rsid w:val="00327040"/>
    <w:rsid w:val="00330BFE"/>
    <w:rsid w:val="003337B8"/>
    <w:rsid w:val="00335D6C"/>
    <w:rsid w:val="00341998"/>
    <w:rsid w:val="00346E78"/>
    <w:rsid w:val="00355B80"/>
    <w:rsid w:val="00357C97"/>
    <w:rsid w:val="0036721A"/>
    <w:rsid w:val="00367D7F"/>
    <w:rsid w:val="00371DAA"/>
    <w:rsid w:val="00381113"/>
    <w:rsid w:val="00386FD5"/>
    <w:rsid w:val="003943AC"/>
    <w:rsid w:val="003A3AC0"/>
    <w:rsid w:val="003A603E"/>
    <w:rsid w:val="003B27A5"/>
    <w:rsid w:val="003B72F0"/>
    <w:rsid w:val="003C7562"/>
    <w:rsid w:val="003D0E7E"/>
    <w:rsid w:val="003D19C0"/>
    <w:rsid w:val="003D50D1"/>
    <w:rsid w:val="003E4517"/>
    <w:rsid w:val="003E5FE9"/>
    <w:rsid w:val="003E6FBE"/>
    <w:rsid w:val="00401CB5"/>
    <w:rsid w:val="004053B8"/>
    <w:rsid w:val="00410CD2"/>
    <w:rsid w:val="0041612D"/>
    <w:rsid w:val="00440691"/>
    <w:rsid w:val="00452E1F"/>
    <w:rsid w:val="00454AC5"/>
    <w:rsid w:val="00466E61"/>
    <w:rsid w:val="00474A5F"/>
    <w:rsid w:val="00476D14"/>
    <w:rsid w:val="00490985"/>
    <w:rsid w:val="00497093"/>
    <w:rsid w:val="004A2F4F"/>
    <w:rsid w:val="004B25D7"/>
    <w:rsid w:val="004B4491"/>
    <w:rsid w:val="004C5A14"/>
    <w:rsid w:val="004D6F21"/>
    <w:rsid w:val="004E1201"/>
    <w:rsid w:val="00500DC8"/>
    <w:rsid w:val="00510B6A"/>
    <w:rsid w:val="0051207E"/>
    <w:rsid w:val="00513A21"/>
    <w:rsid w:val="00521415"/>
    <w:rsid w:val="00527AB2"/>
    <w:rsid w:val="00533E5C"/>
    <w:rsid w:val="0053489A"/>
    <w:rsid w:val="005414A6"/>
    <w:rsid w:val="005455D5"/>
    <w:rsid w:val="00546A15"/>
    <w:rsid w:val="00556A8D"/>
    <w:rsid w:val="00561EBF"/>
    <w:rsid w:val="00562F50"/>
    <w:rsid w:val="00573511"/>
    <w:rsid w:val="00573590"/>
    <w:rsid w:val="0058694B"/>
    <w:rsid w:val="00591EA6"/>
    <w:rsid w:val="0059306F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7CDD"/>
    <w:rsid w:val="00607F72"/>
    <w:rsid w:val="00610034"/>
    <w:rsid w:val="00616506"/>
    <w:rsid w:val="006211C1"/>
    <w:rsid w:val="006229C3"/>
    <w:rsid w:val="006229D7"/>
    <w:rsid w:val="0062555A"/>
    <w:rsid w:val="00626820"/>
    <w:rsid w:val="00631BF2"/>
    <w:rsid w:val="006448DA"/>
    <w:rsid w:val="006500B1"/>
    <w:rsid w:val="00655D30"/>
    <w:rsid w:val="0066139C"/>
    <w:rsid w:val="00662A58"/>
    <w:rsid w:val="00670C35"/>
    <w:rsid w:val="00690233"/>
    <w:rsid w:val="006907E5"/>
    <w:rsid w:val="006923F5"/>
    <w:rsid w:val="0069277E"/>
    <w:rsid w:val="00697FBE"/>
    <w:rsid w:val="006B2412"/>
    <w:rsid w:val="006B7ADE"/>
    <w:rsid w:val="006C4816"/>
    <w:rsid w:val="006D4A9D"/>
    <w:rsid w:val="006E01A0"/>
    <w:rsid w:val="006E2C25"/>
    <w:rsid w:val="006F578F"/>
    <w:rsid w:val="00705002"/>
    <w:rsid w:val="007101D6"/>
    <w:rsid w:val="0071630F"/>
    <w:rsid w:val="007168F0"/>
    <w:rsid w:val="00717642"/>
    <w:rsid w:val="00721E52"/>
    <w:rsid w:val="00730DD8"/>
    <w:rsid w:val="00743B44"/>
    <w:rsid w:val="0075497C"/>
    <w:rsid w:val="007A2517"/>
    <w:rsid w:val="007A35AE"/>
    <w:rsid w:val="007A3601"/>
    <w:rsid w:val="007D4434"/>
    <w:rsid w:val="007D548C"/>
    <w:rsid w:val="0080150D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93E"/>
    <w:rsid w:val="00886C7B"/>
    <w:rsid w:val="008A2957"/>
    <w:rsid w:val="008B5CA4"/>
    <w:rsid w:val="008D75D9"/>
    <w:rsid w:val="008E3BCE"/>
    <w:rsid w:val="008E5DF2"/>
    <w:rsid w:val="008F13AF"/>
    <w:rsid w:val="008F3A78"/>
    <w:rsid w:val="00904E53"/>
    <w:rsid w:val="00917A83"/>
    <w:rsid w:val="00917B2A"/>
    <w:rsid w:val="00954F2B"/>
    <w:rsid w:val="00965642"/>
    <w:rsid w:val="00967C94"/>
    <w:rsid w:val="009851A6"/>
    <w:rsid w:val="00986E6B"/>
    <w:rsid w:val="009A117D"/>
    <w:rsid w:val="009A4B6B"/>
    <w:rsid w:val="009A6E89"/>
    <w:rsid w:val="009B532C"/>
    <w:rsid w:val="009B7C23"/>
    <w:rsid w:val="009C41B1"/>
    <w:rsid w:val="009C6524"/>
    <w:rsid w:val="009D2570"/>
    <w:rsid w:val="009D5796"/>
    <w:rsid w:val="009E0D4A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BC0"/>
    <w:rsid w:val="00A373EF"/>
    <w:rsid w:val="00A50920"/>
    <w:rsid w:val="00A556F0"/>
    <w:rsid w:val="00A6219D"/>
    <w:rsid w:val="00A62FEC"/>
    <w:rsid w:val="00A71941"/>
    <w:rsid w:val="00A7591E"/>
    <w:rsid w:val="00A76B94"/>
    <w:rsid w:val="00A770DD"/>
    <w:rsid w:val="00A8090E"/>
    <w:rsid w:val="00A847FF"/>
    <w:rsid w:val="00A86534"/>
    <w:rsid w:val="00A946D6"/>
    <w:rsid w:val="00A94D41"/>
    <w:rsid w:val="00A973A3"/>
    <w:rsid w:val="00AA55EC"/>
    <w:rsid w:val="00AB3525"/>
    <w:rsid w:val="00AC036C"/>
    <w:rsid w:val="00AC0E5E"/>
    <w:rsid w:val="00AC3753"/>
    <w:rsid w:val="00AE5382"/>
    <w:rsid w:val="00AF036D"/>
    <w:rsid w:val="00AF5A85"/>
    <w:rsid w:val="00B028B4"/>
    <w:rsid w:val="00B041A0"/>
    <w:rsid w:val="00B04905"/>
    <w:rsid w:val="00B04FCF"/>
    <w:rsid w:val="00B0565E"/>
    <w:rsid w:val="00B1031D"/>
    <w:rsid w:val="00B10E6B"/>
    <w:rsid w:val="00B37824"/>
    <w:rsid w:val="00B43B05"/>
    <w:rsid w:val="00B46933"/>
    <w:rsid w:val="00B730B1"/>
    <w:rsid w:val="00B82272"/>
    <w:rsid w:val="00BA1553"/>
    <w:rsid w:val="00BA2F5A"/>
    <w:rsid w:val="00BA6517"/>
    <w:rsid w:val="00BA79F6"/>
    <w:rsid w:val="00BB2A13"/>
    <w:rsid w:val="00BC2D45"/>
    <w:rsid w:val="00BC6D95"/>
    <w:rsid w:val="00BD2CED"/>
    <w:rsid w:val="00BD61BE"/>
    <w:rsid w:val="00BD681F"/>
    <w:rsid w:val="00BF129C"/>
    <w:rsid w:val="00BF210B"/>
    <w:rsid w:val="00BF32AA"/>
    <w:rsid w:val="00C119C8"/>
    <w:rsid w:val="00C14107"/>
    <w:rsid w:val="00C14AFD"/>
    <w:rsid w:val="00C24E0C"/>
    <w:rsid w:val="00C25384"/>
    <w:rsid w:val="00C31693"/>
    <w:rsid w:val="00C40AB7"/>
    <w:rsid w:val="00C436E9"/>
    <w:rsid w:val="00C5254C"/>
    <w:rsid w:val="00C73ECA"/>
    <w:rsid w:val="00C76D31"/>
    <w:rsid w:val="00C83431"/>
    <w:rsid w:val="00C8736B"/>
    <w:rsid w:val="00C94649"/>
    <w:rsid w:val="00CB045E"/>
    <w:rsid w:val="00CB17AB"/>
    <w:rsid w:val="00CC79AF"/>
    <w:rsid w:val="00CD560A"/>
    <w:rsid w:val="00CD7C38"/>
    <w:rsid w:val="00CF11BB"/>
    <w:rsid w:val="00CF3026"/>
    <w:rsid w:val="00CF6630"/>
    <w:rsid w:val="00D02898"/>
    <w:rsid w:val="00D25E4E"/>
    <w:rsid w:val="00D44518"/>
    <w:rsid w:val="00D4458A"/>
    <w:rsid w:val="00D53CC4"/>
    <w:rsid w:val="00D66ACD"/>
    <w:rsid w:val="00D70932"/>
    <w:rsid w:val="00D71A1F"/>
    <w:rsid w:val="00D72683"/>
    <w:rsid w:val="00D96BA2"/>
    <w:rsid w:val="00DA2818"/>
    <w:rsid w:val="00DB0D2C"/>
    <w:rsid w:val="00DD48EC"/>
    <w:rsid w:val="00DD5750"/>
    <w:rsid w:val="00DE34F5"/>
    <w:rsid w:val="00DE4D40"/>
    <w:rsid w:val="00E04B64"/>
    <w:rsid w:val="00E06F6C"/>
    <w:rsid w:val="00E10139"/>
    <w:rsid w:val="00E1540B"/>
    <w:rsid w:val="00E155DC"/>
    <w:rsid w:val="00E16BCA"/>
    <w:rsid w:val="00E250B3"/>
    <w:rsid w:val="00E26FA9"/>
    <w:rsid w:val="00E32F9F"/>
    <w:rsid w:val="00E507B7"/>
    <w:rsid w:val="00E722A6"/>
    <w:rsid w:val="00E7267B"/>
    <w:rsid w:val="00E74EBE"/>
    <w:rsid w:val="00E808EA"/>
    <w:rsid w:val="00E80A84"/>
    <w:rsid w:val="00E8357B"/>
    <w:rsid w:val="00E84469"/>
    <w:rsid w:val="00E84600"/>
    <w:rsid w:val="00E865C7"/>
    <w:rsid w:val="00E93E9D"/>
    <w:rsid w:val="00EB1A96"/>
    <w:rsid w:val="00EC1B4D"/>
    <w:rsid w:val="00EC4049"/>
    <w:rsid w:val="00ED114D"/>
    <w:rsid w:val="00ED16EB"/>
    <w:rsid w:val="00EE0CE8"/>
    <w:rsid w:val="00EE334B"/>
    <w:rsid w:val="00EF2134"/>
    <w:rsid w:val="00EF7855"/>
    <w:rsid w:val="00F10E58"/>
    <w:rsid w:val="00F33069"/>
    <w:rsid w:val="00F43445"/>
    <w:rsid w:val="00F4408C"/>
    <w:rsid w:val="00F632A6"/>
    <w:rsid w:val="00F71C2E"/>
    <w:rsid w:val="00F72F8C"/>
    <w:rsid w:val="00F82BE1"/>
    <w:rsid w:val="00F84661"/>
    <w:rsid w:val="00F86B20"/>
    <w:rsid w:val="00F90446"/>
    <w:rsid w:val="00F9335B"/>
    <w:rsid w:val="00F96BD2"/>
    <w:rsid w:val="00FA0B22"/>
    <w:rsid w:val="00FA1D4A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38D5ED"/>
  <w15:docId w15:val="{AC767597-1794-4322-A81B-1C40FB9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9E0D4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D4A"/>
    <w:pPr>
      <w:keepNext/>
      <w:keepLines/>
      <w:spacing w:before="280" w:after="240" w:line="360" w:lineRule="auto"/>
      <w:outlineLvl w:val="1"/>
    </w:pPr>
    <w:rPr>
      <w:rFonts w:ascii="Arial" w:eastAsiaTheme="majorEastAsia" w:hAnsi="Arial" w:cstheme="majorBidi"/>
      <w:b/>
      <w:color w:val="262626" w:themeColor="text1" w:themeTint="D9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D4A"/>
    <w:pPr>
      <w:keepNext/>
      <w:keepLines/>
      <w:spacing w:before="280" w:after="240" w:line="360" w:lineRule="auto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0D4A"/>
    <w:rPr>
      <w:rFonts w:ascii="Arial" w:eastAsiaTheme="majorEastAsia" w:hAnsi="Arial" w:cstheme="majorBidi"/>
      <w:b/>
      <w:color w:val="262626" w:themeColor="text1" w:themeTint="D9"/>
      <w:sz w:val="24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D4A"/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E0D4A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E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6EA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BB76-4BDC-4E20-98EE-E15559C5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(EFRR)</vt:lpstr>
    </vt:vector>
  </TitlesOfParts>
  <Company>urząd marszałkowski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(EFRR)</dc:title>
  <dc:creator>Mariusz Pilch</dc:creator>
  <cp:lastModifiedBy>Przybek Grzegorz</cp:lastModifiedBy>
  <cp:revision>23</cp:revision>
  <cp:lastPrinted>2023-04-12T06:26:00Z</cp:lastPrinted>
  <dcterms:created xsi:type="dcterms:W3CDTF">2023-03-14T07:43:00Z</dcterms:created>
  <dcterms:modified xsi:type="dcterms:W3CDTF">2023-04-12T06:29:00Z</dcterms:modified>
</cp:coreProperties>
</file>