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6670" w14:textId="77777777" w:rsidR="0027328C" w:rsidRPr="0004236E" w:rsidRDefault="00933D4A" w:rsidP="00E14A24">
      <w:pPr>
        <w:pStyle w:val="Nagwek1"/>
        <w:jc w:val="right"/>
      </w:pPr>
      <w:bookmarkStart w:id="0" w:name="_Toc130210479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</w:p>
    <w:p w14:paraId="6D0A4AB7" w14:textId="77777777" w:rsidR="0004236E" w:rsidRDefault="00EE3970" w:rsidP="0004236E">
      <w:pPr>
        <w:pStyle w:val="Nagwek2"/>
        <w:spacing w:before="1800" w:after="1800"/>
        <w:jc w:val="center"/>
        <w:rPr>
          <w:rStyle w:val="TytuZnak"/>
          <w:rFonts w:ascii="Arial" w:hAnsi="Arial" w:cs="Arial"/>
          <w:b/>
          <w:bCs/>
          <w:sz w:val="32"/>
          <w:szCs w:val="32"/>
        </w:rPr>
      </w:pPr>
      <w:bookmarkStart w:id="1" w:name="_Toc130210480"/>
      <w:r w:rsidRPr="0004236E">
        <w:rPr>
          <w:rStyle w:val="TytuZnak"/>
          <w:rFonts w:ascii="Arial" w:hAnsi="Arial" w:cs="Arial"/>
          <w:b/>
          <w:bCs/>
          <w:sz w:val="32"/>
          <w:szCs w:val="32"/>
        </w:rPr>
        <w:t>Instrukcja wypełniania</w:t>
      </w:r>
      <w:r w:rsidR="000807CD" w:rsidRPr="0004236E">
        <w:rPr>
          <w:rStyle w:val="TytuZnak"/>
          <w:rFonts w:ascii="Arial" w:hAnsi="Arial" w:cs="Arial"/>
          <w:b/>
          <w:bCs/>
          <w:sz w:val="32"/>
          <w:szCs w:val="32"/>
        </w:rPr>
        <w:t xml:space="preserve"> formularza wniosku o dofinansowanie</w:t>
      </w:r>
    </w:p>
    <w:p w14:paraId="15869375" w14:textId="61EE1C48" w:rsidR="00112EB2" w:rsidRPr="00316E06" w:rsidRDefault="00095AB3" w:rsidP="00316E06">
      <w:pPr>
        <w:pStyle w:val="Nagwek2"/>
        <w:spacing w:before="1800" w:after="1800"/>
        <w:jc w:val="center"/>
        <w:rPr>
          <w:rFonts w:cs="Arial"/>
          <w:b w:val="0"/>
          <w:sz w:val="28"/>
          <w:szCs w:val="20"/>
        </w:rPr>
      </w:pPr>
      <w:r w:rsidRPr="00112EB2">
        <w:rPr>
          <w:rStyle w:val="PodtytuZnak"/>
          <w:rFonts w:ascii="Arial" w:hAnsi="Arial" w:cs="Arial"/>
          <w:b/>
          <w:u w:val="none"/>
        </w:rPr>
        <w:lastRenderedPageBreak/>
        <w:t xml:space="preserve">Priorytet </w:t>
      </w:r>
      <w:r w:rsidR="00316E06" w:rsidRPr="00316E06">
        <w:rPr>
          <w:rFonts w:cs="Arial"/>
          <w:sz w:val="28"/>
          <w:szCs w:val="20"/>
        </w:rPr>
        <w:t>FEPK.01 KONKURENCYJNA I CYFROWA GOSPODARKA</w:t>
      </w:r>
      <w:r w:rsidR="005C532D" w:rsidRPr="00112EB2">
        <w:rPr>
          <w:rStyle w:val="PodtytuZnak"/>
          <w:rFonts w:ascii="Arial" w:hAnsi="Arial" w:cs="Arial"/>
          <w:b/>
          <w:u w:val="none"/>
        </w:rPr>
        <w:br/>
      </w:r>
      <w:bookmarkStart w:id="2" w:name="_Toc483552383"/>
      <w:r w:rsidRPr="00112EB2">
        <w:rPr>
          <w:rStyle w:val="PodtytuZnak"/>
          <w:rFonts w:ascii="Arial" w:hAnsi="Arial" w:cs="Arial"/>
          <w:b/>
          <w:u w:val="none"/>
        </w:rPr>
        <w:t xml:space="preserve">Działanie </w:t>
      </w:r>
      <w:bookmarkEnd w:id="2"/>
      <w:r w:rsidR="00B712A6" w:rsidRPr="00112EB2">
        <w:rPr>
          <w:rStyle w:val="PodtytuZnak"/>
          <w:rFonts w:ascii="Arial" w:hAnsi="Arial" w:cs="Arial"/>
          <w:b/>
          <w:u w:val="none"/>
        </w:rPr>
        <w:t>FEPK.0</w:t>
      </w:r>
      <w:r w:rsidR="00316E06">
        <w:rPr>
          <w:rStyle w:val="PodtytuZnak"/>
          <w:rFonts w:ascii="Arial" w:hAnsi="Arial" w:cs="Arial"/>
          <w:b/>
          <w:u w:val="none"/>
        </w:rPr>
        <w:t>1</w:t>
      </w:r>
      <w:r w:rsidR="00B712A6" w:rsidRPr="00112EB2">
        <w:rPr>
          <w:rStyle w:val="PodtytuZnak"/>
          <w:rFonts w:ascii="Arial" w:hAnsi="Arial" w:cs="Arial"/>
          <w:b/>
          <w:u w:val="none"/>
        </w:rPr>
        <w:t>.0</w:t>
      </w:r>
      <w:r w:rsidR="00316E06">
        <w:rPr>
          <w:rStyle w:val="PodtytuZnak"/>
          <w:rFonts w:ascii="Arial" w:hAnsi="Arial" w:cs="Arial"/>
          <w:b/>
          <w:u w:val="none"/>
        </w:rPr>
        <w:t>2</w:t>
      </w:r>
      <w:r w:rsidR="00B712A6" w:rsidRPr="00112EB2">
        <w:rPr>
          <w:rStyle w:val="PodtytuZnak"/>
          <w:rFonts w:ascii="Arial" w:hAnsi="Arial" w:cs="Arial"/>
          <w:b/>
          <w:u w:val="none"/>
        </w:rPr>
        <w:t xml:space="preserve"> </w:t>
      </w:r>
      <w:r w:rsidR="00316E06">
        <w:rPr>
          <w:rStyle w:val="PodtytuZnak"/>
          <w:rFonts w:ascii="Arial" w:hAnsi="Arial" w:cs="Arial"/>
          <w:b/>
          <w:u w:val="none"/>
        </w:rPr>
        <w:t>Cyfryzacja</w:t>
      </w:r>
      <w:r w:rsidR="00112EB2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br/>
      </w:r>
      <w:r w:rsidR="00112EB2">
        <w:rPr>
          <w:rStyle w:val="PodtytuZnak"/>
          <w:rFonts w:ascii="Arial" w:hAnsi="Arial" w:cs="Arial"/>
          <w:u w:val="none"/>
        </w:rPr>
        <w:br/>
      </w:r>
      <w:r w:rsidR="00112EB2" w:rsidRPr="00112EB2">
        <w:rPr>
          <w:rStyle w:val="PodtytuZnak"/>
          <w:rFonts w:ascii="Arial" w:hAnsi="Arial" w:cs="Arial"/>
          <w:u w:val="none"/>
        </w:rPr>
        <w:t>Typ</w:t>
      </w:r>
      <w:r w:rsidR="00316E06">
        <w:rPr>
          <w:rStyle w:val="PodtytuZnak"/>
          <w:rFonts w:ascii="Arial" w:hAnsi="Arial" w:cs="Arial"/>
          <w:u w:val="none"/>
        </w:rPr>
        <w:t>y</w:t>
      </w:r>
      <w:r w:rsidR="00112EB2" w:rsidRPr="00112EB2">
        <w:rPr>
          <w:rStyle w:val="PodtytuZnak"/>
          <w:rFonts w:ascii="Arial" w:hAnsi="Arial" w:cs="Arial"/>
          <w:u w:val="none"/>
        </w:rPr>
        <w:t xml:space="preserve"> projekt</w:t>
      </w:r>
      <w:r w:rsidR="00316E06">
        <w:rPr>
          <w:rStyle w:val="PodtytuZnak"/>
          <w:rFonts w:ascii="Arial" w:hAnsi="Arial" w:cs="Arial"/>
          <w:u w:val="none"/>
        </w:rPr>
        <w:t>ów:</w:t>
      </w:r>
      <w:r w:rsidR="00112EB2" w:rsidRPr="00112EB2">
        <w:rPr>
          <w:rStyle w:val="PodtytuZnak"/>
          <w:rFonts w:ascii="Arial" w:hAnsi="Arial" w:cs="Arial"/>
          <w:u w:val="none"/>
        </w:rPr>
        <w:br/>
      </w:r>
      <w:r w:rsidR="00316E06" w:rsidRPr="00316E06">
        <w:rPr>
          <w:rFonts w:cs="Arial"/>
          <w:b w:val="0"/>
          <w:sz w:val="28"/>
          <w:szCs w:val="20"/>
        </w:rPr>
        <w:t xml:space="preserve">Platformy e-usług publicznych szczebla regionalnego/lokalnego. </w:t>
      </w:r>
      <w:r w:rsidR="00316E06">
        <w:rPr>
          <w:rFonts w:cs="Arial"/>
          <w:b w:val="0"/>
          <w:sz w:val="28"/>
          <w:szCs w:val="20"/>
        </w:rPr>
        <w:br/>
      </w:r>
      <w:r w:rsidR="00316E06" w:rsidRPr="00316E06">
        <w:rPr>
          <w:rFonts w:cs="Arial"/>
          <w:b w:val="0"/>
          <w:sz w:val="28"/>
          <w:szCs w:val="20"/>
        </w:rPr>
        <w:t xml:space="preserve">Rozwój infrastruktury danych przestrzennych. </w:t>
      </w:r>
      <w:r w:rsidR="00316E06">
        <w:rPr>
          <w:rFonts w:cs="Arial"/>
          <w:b w:val="0"/>
          <w:sz w:val="28"/>
          <w:szCs w:val="20"/>
        </w:rPr>
        <w:br/>
      </w:r>
      <w:proofErr w:type="spellStart"/>
      <w:r w:rsidR="00316E06">
        <w:rPr>
          <w:rFonts w:cs="Arial"/>
          <w:b w:val="0"/>
          <w:sz w:val="28"/>
          <w:szCs w:val="20"/>
        </w:rPr>
        <w:t>Cyberbezpieczeństwo</w:t>
      </w:r>
      <w:proofErr w:type="spellEnd"/>
      <w:r w:rsidR="00316E06" w:rsidRPr="00316E06">
        <w:rPr>
          <w:rFonts w:cs="Arial"/>
          <w:b w:val="0"/>
          <w:sz w:val="28"/>
          <w:szCs w:val="20"/>
        </w:rPr>
        <w:br/>
        <w:t>Aplikacje w oparciu o dostępne cyfrowo ISP (informacje sektora publicznego).</w:t>
      </w:r>
      <w:r w:rsidR="00316E06" w:rsidRPr="00316E06">
        <w:rPr>
          <w:rFonts w:cs="Arial"/>
          <w:b w:val="0"/>
          <w:sz w:val="28"/>
          <w:szCs w:val="20"/>
        </w:rPr>
        <w:br/>
        <w:t>Wdrażanie nowoczesnych rozwiązań technologicznych (działania digitalizacyjne).</w:t>
      </w:r>
      <w:r w:rsidR="00316E06" w:rsidRPr="00316E06">
        <w:rPr>
          <w:rFonts w:cs="Arial"/>
          <w:b w:val="0"/>
          <w:sz w:val="28"/>
          <w:szCs w:val="20"/>
        </w:rPr>
        <w:br/>
      </w:r>
      <w:r w:rsidR="005C532D" w:rsidRPr="0004236E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br/>
      </w:r>
      <w:bookmarkStart w:id="3" w:name="_Toc483552384"/>
      <w:r w:rsidRPr="0004236E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 xml:space="preserve">Nr naboru </w:t>
      </w:r>
      <w:bookmarkEnd w:id="3"/>
      <w:r w:rsidR="00112EB2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>FEPK.0</w:t>
      </w:r>
      <w:r w:rsidR="005B51C0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>1</w:t>
      </w:r>
      <w:r w:rsidR="00B712A6" w:rsidRPr="0004236E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>.0</w:t>
      </w:r>
      <w:r w:rsidR="005B51C0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>2</w:t>
      </w:r>
      <w:r w:rsidR="00B712A6" w:rsidRPr="0004236E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>-IZ.00-001/23</w:t>
      </w:r>
      <w:bookmarkEnd w:id="1"/>
    </w:p>
    <w:p w14:paraId="1632ACCA" w14:textId="77777777" w:rsidR="00393D42" w:rsidRDefault="00393D42">
      <w:pPr>
        <w:spacing w:line="240" w:lineRule="auto"/>
      </w:pPr>
      <w:bookmarkStart w:id="4" w:name="_Toc129688632"/>
      <w:r>
        <w:rPr>
          <w:bCs/>
        </w:rPr>
        <w:lastRenderedPageBreak/>
        <w:br w:type="page"/>
      </w:r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060C0544" w:rsidR="00374EF8" w:rsidRPr="00CA7A88" w:rsidRDefault="00374EF8">
          <w:pPr>
            <w:pStyle w:val="Nagwekspisutreci"/>
            <w:rPr>
              <w:rStyle w:val="Nagwek1Znak"/>
              <w:color w:val="auto"/>
            </w:rPr>
          </w:pPr>
          <w:r w:rsidRPr="00CA7A88">
            <w:rPr>
              <w:rStyle w:val="Nagwek1Znak"/>
              <w:color w:val="auto"/>
            </w:rPr>
            <w:t>Spis treści</w:t>
          </w:r>
        </w:p>
        <w:p w14:paraId="65F95422" w14:textId="62791886" w:rsidR="00374EF8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10479" w:history="1"/>
        </w:p>
        <w:p w14:paraId="6F1A501E" w14:textId="44756408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1" w:history="1">
            <w:r w:rsidR="00374EF8" w:rsidRPr="00FE5E00">
              <w:rPr>
                <w:rStyle w:val="Hipercze"/>
                <w:noProof/>
              </w:rPr>
              <w:t>Wstęp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F808F8C" w14:textId="2DF62B5D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2" w:history="1">
            <w:r w:rsidR="00374EF8" w:rsidRPr="00FE5E00">
              <w:rPr>
                <w:rStyle w:val="Hipercze"/>
                <w:noProof/>
              </w:rPr>
              <w:t>Sekcja I Informacje o projekcie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620FE96A" w14:textId="1A5B4DEC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3" w:history="1">
            <w:r w:rsidR="00374EF8" w:rsidRPr="00FE5E00">
              <w:rPr>
                <w:rStyle w:val="Hipercze"/>
                <w:noProof/>
              </w:rPr>
              <w:t>Sekcja II Wnioskodawca i realizatorzy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_Toc130210483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177A7581" w14:textId="40C6173A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4" w:history="1">
            <w:r w:rsidR="00374EF8" w:rsidRPr="00FE5E00">
              <w:rPr>
                <w:rStyle w:val="Hipercze"/>
                <w:noProof/>
              </w:rPr>
              <w:t>Sekcja III Wskaźniki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_Toc130210484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9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FFAA237" w14:textId="16E4DD96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5" w:history="1">
            <w:r w:rsidR="00374EF8" w:rsidRPr="00FE5E00">
              <w:rPr>
                <w:rStyle w:val="Hipercze"/>
                <w:noProof/>
              </w:rPr>
              <w:t>Sekcja IV Zadania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_Toc130210485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11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D2DF557" w14:textId="5309AA11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6" w:history="1">
            <w:r w:rsidR="00374EF8" w:rsidRPr="00FE5E00">
              <w:rPr>
                <w:rStyle w:val="Hipercze"/>
                <w:noProof/>
              </w:rPr>
              <w:t>Sekcja V Budżet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_Toc130210486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13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729F0E2" w14:textId="179096F4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7" w:history="1">
            <w:r w:rsidR="00374EF8" w:rsidRPr="00FE5E00">
              <w:rPr>
                <w:rStyle w:val="Hipercze"/>
                <w:noProof/>
              </w:rPr>
              <w:t>Sekcja VI Podsumowanie budżetu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_Toc130210487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F0AE59F" w14:textId="4A13866F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8" w:history="1">
            <w:r w:rsidR="00374EF8" w:rsidRPr="00FE5E00">
              <w:rPr>
                <w:rStyle w:val="Hipercze"/>
                <w:noProof/>
              </w:rPr>
              <w:t>Sekcja VII Źródła finansowania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_Toc130210488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17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017BE3B" w14:textId="049005F4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9" w:history="1">
            <w:r w:rsidR="00374EF8" w:rsidRPr="00FE5E00">
              <w:rPr>
                <w:rStyle w:val="Hipercze"/>
                <w:noProof/>
              </w:rPr>
              <w:t>Sekcja VIII Analiza ryzyka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_Toc130210489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18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39E9C37D" w14:textId="4D5F0F1E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0" w:history="1">
            <w:r w:rsidR="00374EF8" w:rsidRPr="00FE5E00">
              <w:rPr>
                <w:rStyle w:val="Hipercze"/>
                <w:noProof/>
              </w:rPr>
              <w:t>Sekcja IX Dodatkowe informacje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_Toc130210490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20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7FD5505" w14:textId="0DE9212A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1" w:history="1">
            <w:r w:rsidR="00374EF8" w:rsidRPr="00FE5E00">
              <w:rPr>
                <w:rStyle w:val="Hipercze"/>
                <w:noProof/>
              </w:rPr>
              <w:t>Sekcja X Oświadczenia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24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CB38D04" w14:textId="452805CA" w:rsidR="00374EF8" w:rsidRDefault="00012362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2" w:history="1">
            <w:r w:rsidR="00374EF8" w:rsidRPr="00FE5E00">
              <w:rPr>
                <w:rStyle w:val="Hipercze"/>
                <w:noProof/>
              </w:rPr>
              <w:t>Sekcja XI Załączniki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8D21C6">
              <w:rPr>
                <w:noProof/>
                <w:webHidden/>
              </w:rPr>
              <w:t>24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7F394522" w14:textId="31B99ABE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23F1334F" w:rsidR="00167CFB" w:rsidRDefault="00680833" w:rsidP="00E14A24">
      <w:pPr>
        <w:pStyle w:val="Nagwek2"/>
      </w:pPr>
      <w:bookmarkStart w:id="5" w:name="_Toc130210481"/>
      <w:r w:rsidRPr="00402D66">
        <w:lastRenderedPageBreak/>
        <w:t>Wstęp</w:t>
      </w:r>
      <w:bookmarkEnd w:id="4"/>
      <w:bookmarkEnd w:id="5"/>
    </w:p>
    <w:p w14:paraId="415391ED" w14:textId="5B0DE4D1" w:rsidR="00402D66" w:rsidRPr="00402D66" w:rsidRDefault="009F3B6E" w:rsidP="00687F93">
      <w:pPr>
        <w:rPr>
          <w:rFonts w:cs="Arial"/>
        </w:rPr>
      </w:pPr>
      <w:r>
        <w:br/>
      </w:r>
      <w:r w:rsidR="00D356F9" w:rsidRPr="00167CFB">
        <w:t>Przed rozpoczęciem wypełniania wniosku o dofinansowanie w systemie WOD2021 zaleca się zapoznanie z Instrukcją użytkownika Aplikacji WOD2021 Wnioski o dofinansowanie Wnioskodawca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836E89">
        <w:t xml:space="preserve"> </w:t>
      </w:r>
      <w:hyperlink r:id="rId8" w:tgtFrame="_self" w:tooltip="Link do zewnętrznej strony otwiera się w tym samym oknie" w:history="1">
        <w:r w:rsidR="00B712A6" w:rsidRPr="001F6B3D">
          <w:rPr>
            <w:rStyle w:val="Hipercze"/>
          </w:rPr>
          <w:t>https://instrukcje.cst2021.gov.pl/?mod=wnioskodawca</w:t>
        </w:r>
      </w:hyperlink>
      <w:r w:rsidR="00836E89">
        <w:rPr>
          <w:rStyle w:val="Hipercze"/>
        </w:rPr>
        <w:t xml:space="preserve"> </w:t>
      </w:r>
      <w:r w:rsidR="00836E89">
        <w:t xml:space="preserve">oraz </w:t>
      </w:r>
      <w:hyperlink r:id="rId9" w:tgtFrame="_self" w:tooltip="https://funduszeue.podkarpackie.pl/systemy-informatyczne/instrukcje-uzytkownika-wod2021" w:history="1">
        <w:r w:rsidR="00836E89" w:rsidRPr="00481690">
          <w:rPr>
            <w:rStyle w:val="Hipercze"/>
          </w:rPr>
          <w:t>https://funduszeue.podkarpackie.pl/systemy-informatyczne/instrukcje-uzytkownika-wod2021</w:t>
        </w:r>
      </w:hyperlink>
      <w:r w:rsidR="00B712A6" w:rsidRPr="00167CFB">
        <w:t>.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6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6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7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7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lastRenderedPageBreak/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8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8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  <w:r w:rsidR="00687F93">
        <w:rPr>
          <w:rFonts w:cs="Arial"/>
        </w:rPr>
        <w:br/>
      </w:r>
      <w:r w:rsidR="00687F93">
        <w:rPr>
          <w:rFonts w:cs="Arial"/>
        </w:rPr>
        <w:br/>
      </w:r>
    </w:p>
    <w:p w14:paraId="7E84095B" w14:textId="408762A5" w:rsidR="00422548" w:rsidRDefault="00D94073" w:rsidP="0047485B">
      <w:pPr>
        <w:pStyle w:val="Nagwek3"/>
        <w:jc w:val="center"/>
      </w:pPr>
      <w:bookmarkStart w:id="9" w:name="_Toc129688633"/>
      <w:bookmarkStart w:id="10" w:name="_Toc130210482"/>
      <w:r>
        <w:lastRenderedPageBreak/>
        <w:t xml:space="preserve">Sekcja </w:t>
      </w:r>
      <w:r w:rsidRPr="00D94073">
        <w:t>I Informacje o projekcie</w:t>
      </w:r>
      <w:bookmarkEnd w:id="9"/>
      <w:bookmarkEnd w:id="10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1" w:name="_Toc435087245"/>
    </w:p>
    <w:p w14:paraId="5D11FB95" w14:textId="1C2BD634" w:rsidR="009F3B6E" w:rsidRPr="009F3B6E" w:rsidRDefault="00377A91" w:rsidP="0047485B">
      <w:pPr>
        <w:pStyle w:val="Nagwek4"/>
        <w:rPr>
          <w:rStyle w:val="Nagwek4Znak"/>
          <w:b/>
          <w:iCs/>
        </w:rPr>
      </w:pPr>
      <w:r w:rsidRPr="009F3B6E">
        <w:rPr>
          <w:rStyle w:val="Nagwek4Znak"/>
          <w:b/>
          <w:iCs/>
        </w:rPr>
        <w:t>Tytuł projektu</w:t>
      </w:r>
      <w:bookmarkEnd w:id="11"/>
    </w:p>
    <w:p w14:paraId="12FD9D84" w14:textId="45C6EB3B" w:rsidR="009F3B6E" w:rsidRDefault="006C1548" w:rsidP="009F3B6E">
      <w:pPr>
        <w:rPr>
          <w:rFonts w:cs="Arial"/>
          <w:b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9F3B6E"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 w:rsidR="009F3B6E"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47485B">
      <w:pPr>
        <w:pStyle w:val="Nagwek4"/>
      </w:pPr>
      <w:r w:rsidRPr="009C5863">
        <w:t>Opis projektu</w:t>
      </w:r>
    </w:p>
    <w:p w14:paraId="57743A64" w14:textId="615BBF34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lastRenderedPageBreak/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47485B">
      <w:pPr>
        <w:pStyle w:val="Nagwek4"/>
      </w:pPr>
      <w:r w:rsidRPr="00946B9F">
        <w:t>Data rozpoczęcia realizacji projektu</w:t>
      </w:r>
    </w:p>
    <w:p w14:paraId="4B818E5E" w14:textId="5B55510E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B71C73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 xml:space="preserve">np. dokumentacja techniczna, itp., wówczas za datę rozpoczęcia realizacji </w:t>
      </w:r>
      <w:r w:rsidRPr="009F2F08">
        <w:lastRenderedPageBreak/>
        <w:t>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B71C73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47485B">
      <w:pPr>
        <w:pStyle w:val="Nagwek4"/>
      </w:pPr>
      <w:r w:rsidRPr="00946B9F">
        <w:t>Data zakończenia realizacji projektu</w:t>
      </w:r>
    </w:p>
    <w:p w14:paraId="7262DFA4" w14:textId="45BBBC9A" w:rsidR="00BA5A77" w:rsidRDefault="004D5EF6" w:rsidP="00316E06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Regulaminu </w:t>
      </w:r>
      <w:r w:rsidR="005F47A4" w:rsidRPr="005F47A4">
        <w:rPr>
          <w:rFonts w:cs="Arial"/>
        </w:rPr>
        <w:lastRenderedPageBreak/>
        <w:t>wyboru projektów</w:t>
      </w:r>
      <w:r w:rsidR="00C1271F">
        <w:rPr>
          <w:rFonts w:cs="Arial"/>
        </w:rPr>
        <w:t>.</w:t>
      </w:r>
      <w:r w:rsidR="009B5D47">
        <w:rPr>
          <w:rFonts w:cs="Arial"/>
        </w:rPr>
        <w:br/>
      </w:r>
    </w:p>
    <w:p w14:paraId="4CE3AF91" w14:textId="41F31C91" w:rsidR="00BA5A77" w:rsidRDefault="00BA5A77" w:rsidP="0047485B">
      <w:pPr>
        <w:pStyle w:val="Nagwek4"/>
      </w:pPr>
      <w:r w:rsidRPr="00BA5A77">
        <w:t>Grupy docelowe</w:t>
      </w:r>
    </w:p>
    <w:p w14:paraId="6DB7B2D6" w14:textId="53405EAB" w:rsidR="00FD429B" w:rsidRDefault="00FD429B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>Projekt będzie miał pozytywny wpływ na zasadę równości szans i niedyskryminacji, 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9E6E4F">
        <w:rPr>
          <w:b/>
          <w:bCs/>
          <w:szCs w:val="22"/>
        </w:rPr>
        <w:t>Projekt jest zgodny z zasadą równości kobiet i mężczyzn.</w:t>
      </w:r>
      <w:r w:rsidR="009B5D47" w:rsidRPr="009E6E4F">
        <w:rPr>
          <w:b/>
          <w:bCs/>
          <w:szCs w:val="22"/>
        </w:rPr>
        <w:br/>
      </w:r>
      <w:r w:rsidR="009265DD" w:rsidRPr="009E6E4F">
        <w:rPr>
          <w:rFonts w:eastAsiaTheme="minorHAnsi"/>
          <w:b/>
          <w:szCs w:val="22"/>
          <w:lang w:eastAsia="en-US"/>
        </w:rPr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47485B">
      <w:pPr>
        <w:pStyle w:val="Nagwek4"/>
      </w:pPr>
      <w:r w:rsidRPr="00FD429B">
        <w:lastRenderedPageBreak/>
        <w:t>Dziedzina projektu</w:t>
      </w:r>
    </w:p>
    <w:p w14:paraId="6CAB47A4" w14:textId="607D4B8B" w:rsidR="009B5D47" w:rsidRDefault="007B7030" w:rsidP="009E6E4F">
      <w:pPr>
        <w:spacing w:line="312" w:lineRule="auto"/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B712A6" w:rsidRPr="00E108F3">
        <w:rPr>
          <w:rFonts w:cs="Arial"/>
          <w:b/>
        </w:rPr>
        <w:t>0</w:t>
      </w:r>
      <w:r w:rsidR="009E6E4F" w:rsidRPr="00E108F3">
        <w:rPr>
          <w:rFonts w:cs="Arial"/>
          <w:b/>
        </w:rPr>
        <w:t>1</w:t>
      </w:r>
      <w:r w:rsidR="00B712A6" w:rsidRPr="00E108F3">
        <w:rPr>
          <w:rFonts w:cs="Arial"/>
          <w:b/>
        </w:rPr>
        <w:t>.0</w:t>
      </w:r>
      <w:r w:rsidR="009E6E4F" w:rsidRPr="00E108F3">
        <w:rPr>
          <w:rFonts w:cs="Arial"/>
          <w:b/>
        </w:rPr>
        <w:t>2</w:t>
      </w:r>
      <w:r w:rsidR="00B712A6" w:rsidRPr="00E108F3">
        <w:rPr>
          <w:rFonts w:cs="Arial"/>
          <w:b/>
        </w:rPr>
        <w:t xml:space="preserve"> </w:t>
      </w:r>
      <w:r w:rsidR="009E6E4F" w:rsidRPr="00E108F3">
        <w:rPr>
          <w:rFonts w:cs="Arial"/>
          <w:b/>
        </w:rPr>
        <w:t>Cyfryzacja</w:t>
      </w:r>
      <w:r w:rsidR="00B712A6" w:rsidRPr="00124FAB">
        <w:rPr>
          <w:rFonts w:cs="Arial"/>
        </w:rPr>
        <w:t xml:space="preserve"> należy wybrać odpowiednio do głównego zakresu projektu:</w:t>
      </w:r>
      <w:r w:rsidR="009B5D47">
        <w:rPr>
          <w:rFonts w:cs="Arial"/>
        </w:rPr>
        <w:br/>
      </w:r>
      <w:r w:rsidR="009E6E4F" w:rsidRPr="009E6E4F">
        <w:rPr>
          <w:color w:val="000000" w:themeColor="text1"/>
        </w:rPr>
        <w:t xml:space="preserve">016 - Rozwiązania TIK, usługi elektroniczne, aplikacje dla administracji </w:t>
      </w:r>
      <w:r w:rsidR="009E6E4F">
        <w:rPr>
          <w:color w:val="000000" w:themeColor="text1"/>
        </w:rPr>
        <w:br/>
      </w:r>
      <w:r w:rsidR="009E6E4F" w:rsidRPr="009E6E4F">
        <w:rPr>
          <w:color w:val="000000" w:themeColor="text1"/>
        </w:rPr>
        <w:t>017 - Rozwiązania TIK, usługi elektroniczne, aplik</w:t>
      </w:r>
      <w:r w:rsidR="009E6E4F">
        <w:rPr>
          <w:color w:val="000000" w:themeColor="text1"/>
        </w:rPr>
        <w:t xml:space="preserve">acje dla administracji zgodne z </w:t>
      </w:r>
      <w:r w:rsidR="009E6E4F" w:rsidRPr="009E6E4F">
        <w:rPr>
          <w:color w:val="000000" w:themeColor="text1"/>
        </w:rPr>
        <w:t>kryteriami redukcji emisji gazów cieplarnian</w:t>
      </w:r>
      <w:r w:rsidR="009E6E4F">
        <w:rPr>
          <w:color w:val="000000" w:themeColor="text1"/>
        </w:rPr>
        <w:t xml:space="preserve">ych lub kryteriami efektywności </w:t>
      </w:r>
      <w:r w:rsidR="009E6E4F" w:rsidRPr="009E6E4F">
        <w:rPr>
          <w:color w:val="000000" w:themeColor="text1"/>
        </w:rPr>
        <w:t xml:space="preserve">energetycznej, </w:t>
      </w:r>
      <w:r w:rsidR="009B5D47">
        <w:rPr>
          <w:color w:val="000000" w:themeColor="text1"/>
        </w:rPr>
        <w:br/>
      </w:r>
    </w:p>
    <w:p w14:paraId="64350BDA" w14:textId="360EB10E" w:rsidR="00D96FE4" w:rsidRPr="00D96FE4" w:rsidRDefault="00D96FE4" w:rsidP="0047485B">
      <w:pPr>
        <w:pStyle w:val="Nagwek4"/>
      </w:pPr>
      <w:r w:rsidRPr="00D96FE4">
        <w:t>Obszar realizacji projektu</w:t>
      </w:r>
    </w:p>
    <w:p w14:paraId="707E7DE3" w14:textId="77777777" w:rsidR="00907DF7" w:rsidRDefault="00D96FE4" w:rsidP="00FD429B">
      <w:pPr>
        <w:spacing w:line="312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47485B">
      <w:pPr>
        <w:pStyle w:val="Nagwek4"/>
      </w:pPr>
      <w:r>
        <w:t>M</w:t>
      </w:r>
      <w:r w:rsidRPr="00A16115">
        <w:t>iejsce realizacji</w:t>
      </w:r>
    </w:p>
    <w:p w14:paraId="4D7696E8" w14:textId="77777777" w:rsidR="00822F68" w:rsidRDefault="00A16115" w:rsidP="001F6B3D">
      <w:pPr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3882B799" w14:textId="265F74BA" w:rsidR="00822F68" w:rsidRPr="00183C62" w:rsidRDefault="00183C62" w:rsidP="001F6B3D">
      <w:pPr>
        <w:rPr>
          <w:i/>
          <w:iCs/>
        </w:rPr>
      </w:pPr>
      <w:r w:rsidRPr="00931A0F">
        <w:rPr>
          <w:rFonts w:eastAsiaTheme="minorHAnsi"/>
          <w:b/>
          <w:lang w:eastAsia="en-US"/>
        </w:rPr>
        <w:lastRenderedPageBreak/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3ECEA705" w14:textId="227A1170" w:rsidR="00687FCF" w:rsidRDefault="00687FCF" w:rsidP="0047485B">
      <w:pPr>
        <w:pStyle w:val="Nagwek3"/>
        <w:jc w:val="center"/>
      </w:pPr>
      <w:bookmarkStart w:id="12" w:name="_Toc129688634"/>
      <w:bookmarkStart w:id="13" w:name="_Toc130210483"/>
      <w:r w:rsidRPr="00687FCF">
        <w:t>Sekcja I</w:t>
      </w:r>
      <w:r w:rsidRPr="00D94073">
        <w:t xml:space="preserve">I </w:t>
      </w:r>
      <w:r>
        <w:t>Wnioskodawca i realizatorzy</w:t>
      </w:r>
      <w:bookmarkEnd w:id="12"/>
      <w:bookmarkEnd w:id="13"/>
      <w:r w:rsidR="00907DF7">
        <w:br/>
      </w:r>
    </w:p>
    <w:p w14:paraId="33AA9AD8" w14:textId="5688A306" w:rsidR="00687FCF" w:rsidRDefault="00687FCF" w:rsidP="00FD429B">
      <w:pPr>
        <w:spacing w:line="312" w:lineRule="auto"/>
        <w:contextualSpacing/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759176B3" w14:textId="5D07B2C9" w:rsidR="008F4570" w:rsidRDefault="008F4570" w:rsidP="00FD429B">
      <w:pPr>
        <w:spacing w:line="312" w:lineRule="auto"/>
        <w:contextualSpacing/>
        <w:rPr>
          <w:rStyle w:val="markedcontent"/>
          <w:rFonts w:cs="Arial"/>
        </w:rPr>
      </w:pPr>
    </w:p>
    <w:p w14:paraId="19857F03" w14:textId="77777777" w:rsidR="008F4570" w:rsidRPr="00924C2D" w:rsidRDefault="008F4570" w:rsidP="0047485B">
      <w:pPr>
        <w:pStyle w:val="Nagwek4"/>
      </w:pPr>
      <w:r w:rsidRPr="00924C2D">
        <w:t>Nazwa Wnioskodawcy</w:t>
      </w:r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47485B">
      <w:pPr>
        <w:pStyle w:val="Nagwek4"/>
      </w:pPr>
      <w:r w:rsidRPr="00EB35F2">
        <w:t>Forma prawna, Forma własności</w:t>
      </w:r>
    </w:p>
    <w:p w14:paraId="3552D043" w14:textId="6044CE84" w:rsidR="00687FCF" w:rsidRDefault="00924C2D" w:rsidP="001F6B3D">
      <w:pPr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 xml:space="preserve">dla </w:t>
      </w:r>
      <w:r w:rsidR="00535FA7" w:rsidRPr="00EB35F2">
        <w:lastRenderedPageBreak/>
        <w:t>Wnioskodawcy.</w:t>
      </w:r>
      <w:r w:rsidR="00907DF7">
        <w:br/>
      </w:r>
    </w:p>
    <w:p w14:paraId="6C72504D" w14:textId="0713348A" w:rsidR="00657E32" w:rsidRPr="00657E32" w:rsidRDefault="00657E32" w:rsidP="00657E32">
      <w:pPr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Pr="00657E32">
        <w:rPr>
          <w:rFonts w:cs="Arial"/>
          <w:b/>
        </w:rPr>
        <w:t>0</w:t>
      </w:r>
      <w:r w:rsidR="009E6E4F">
        <w:rPr>
          <w:rFonts w:cs="Arial"/>
          <w:b/>
        </w:rPr>
        <w:t>1</w:t>
      </w:r>
      <w:r w:rsidRPr="00657E32">
        <w:rPr>
          <w:rFonts w:cs="Arial"/>
          <w:b/>
        </w:rPr>
        <w:t>.0</w:t>
      </w:r>
      <w:r w:rsidR="009E6E4F">
        <w:rPr>
          <w:rFonts w:cs="Arial"/>
          <w:b/>
        </w:rPr>
        <w:t>2</w:t>
      </w:r>
      <w:r w:rsidRPr="00657E32">
        <w:rPr>
          <w:rFonts w:cs="Arial"/>
          <w:b/>
        </w:rPr>
        <w:t xml:space="preserve"> </w:t>
      </w:r>
      <w:r w:rsidR="009E6E4F">
        <w:rPr>
          <w:rFonts w:cs="Arial"/>
          <w:b/>
        </w:rPr>
        <w:t>Cyfryzacja</w:t>
      </w:r>
      <w:r w:rsidRPr="00657E32">
        <w:rPr>
          <w:rFonts w:cs="Arial"/>
          <w:b/>
        </w:rPr>
        <w:t>:</w:t>
      </w:r>
    </w:p>
    <w:p w14:paraId="787F8A23" w14:textId="77777777" w:rsidR="00657E32" w:rsidRPr="00657E32" w:rsidRDefault="00657E32" w:rsidP="00657E32">
      <w:pPr>
        <w:rPr>
          <w:rFonts w:cs="Arial"/>
        </w:rPr>
      </w:pPr>
      <w:r w:rsidRPr="00657E32">
        <w:rPr>
          <w:rFonts w:cs="Arial"/>
        </w:rPr>
        <w:t xml:space="preserve">a) w zakresie </w:t>
      </w:r>
      <w:r w:rsidRPr="00657E32">
        <w:rPr>
          <w:rFonts w:cs="Arial"/>
          <w:u w:val="single"/>
        </w:rPr>
        <w:t>formy prawnej</w:t>
      </w:r>
      <w:r w:rsidRPr="00657E32">
        <w:rPr>
          <w:rFonts w:cs="Arial"/>
        </w:rPr>
        <w:t>:</w:t>
      </w:r>
    </w:p>
    <w:p w14:paraId="7CA884E7" w14:textId="1DE76016" w:rsidR="00BB69A5" w:rsidRDefault="00657E32" w:rsidP="00FE5431">
      <w:pPr>
        <w:rPr>
          <w:rFonts w:cs="Arial"/>
        </w:rPr>
      </w:pPr>
      <w:r w:rsidRPr="00657E32">
        <w:rPr>
          <w:rFonts w:cs="Arial"/>
        </w:rPr>
        <w:t xml:space="preserve">- jeżeli Wnioskodawcą są jednostki samorządu terytorialnego lub ich związki, porozumienia, stowarzyszenia to należy wybrać  „wspólnoty samorządowe”, </w:t>
      </w:r>
    </w:p>
    <w:p w14:paraId="2BE4F935" w14:textId="7BF0B743" w:rsidR="00FE5431" w:rsidRDefault="00BB69A5" w:rsidP="00FE5431">
      <w:pPr>
        <w:rPr>
          <w:rFonts w:cs="Arial"/>
        </w:rPr>
      </w:pPr>
      <w:r w:rsidRPr="00BB69A5">
        <w:rPr>
          <w:rFonts w:cs="Arial"/>
        </w:rPr>
        <w:t xml:space="preserve">- jeżeli Wnioskodawcą są </w:t>
      </w:r>
      <w:r>
        <w:rPr>
          <w:rFonts w:cs="Arial"/>
        </w:rPr>
        <w:t>p</w:t>
      </w:r>
      <w:r w:rsidR="00FE5431" w:rsidRPr="00FE5431">
        <w:rPr>
          <w:rFonts w:cs="Arial"/>
        </w:rPr>
        <w:t>odmioty świadczące usługi publiczne w ramach realizacji obowiązków własnych jednostek samorządu terytorialnego</w:t>
      </w:r>
      <w:r>
        <w:rPr>
          <w:rFonts w:cs="Arial"/>
        </w:rPr>
        <w:t xml:space="preserve"> to należy wybrać zgodnie z formą prawną, np. </w:t>
      </w:r>
      <w:r w:rsidRPr="00BB69A5">
        <w:rPr>
          <w:rFonts w:cs="Arial"/>
        </w:rPr>
        <w:t>spółki z ograniczoną odpowiedzialnością</w:t>
      </w:r>
      <w:r w:rsidR="00B012BE">
        <w:rPr>
          <w:rFonts w:cs="Arial"/>
        </w:rPr>
        <w:t>,</w:t>
      </w:r>
    </w:p>
    <w:p w14:paraId="6CF7842C" w14:textId="1979A507" w:rsidR="00B012BE" w:rsidRDefault="00B012BE" w:rsidP="00FE5431">
      <w:pPr>
        <w:rPr>
          <w:rFonts w:cs="Arial"/>
        </w:rPr>
      </w:pPr>
      <w:r w:rsidRPr="00657E32">
        <w:rPr>
          <w:rFonts w:cs="Arial"/>
        </w:rPr>
        <w:t xml:space="preserve">- </w:t>
      </w:r>
      <w:r>
        <w:rPr>
          <w:rFonts w:cs="Arial"/>
        </w:rPr>
        <w:t>jeżeli Wnioskodawcą są i</w:t>
      </w:r>
      <w:r w:rsidRPr="00302966">
        <w:rPr>
          <w:rFonts w:cs="Arial"/>
        </w:rPr>
        <w:t>nstytucje kultury to należy wybrać inne organizacje społeczne lub zawodowe</w:t>
      </w:r>
      <w:r>
        <w:rPr>
          <w:rFonts w:cs="Arial"/>
        </w:rPr>
        <w:t>,</w:t>
      </w:r>
    </w:p>
    <w:p w14:paraId="60912E8C" w14:textId="2E9A070B" w:rsidR="00657E32" w:rsidRDefault="00BB69A5" w:rsidP="00FE5431">
      <w:pPr>
        <w:rPr>
          <w:rFonts w:cs="Arial"/>
        </w:rPr>
      </w:pPr>
      <w:r w:rsidRPr="00BB69A5">
        <w:rPr>
          <w:rFonts w:cs="Arial"/>
        </w:rPr>
        <w:t xml:space="preserve">- jeżeli Wnioskodawcą są </w:t>
      </w:r>
      <w:r>
        <w:rPr>
          <w:rFonts w:cs="Arial"/>
        </w:rPr>
        <w:t>j</w:t>
      </w:r>
      <w:r w:rsidR="00FE5431" w:rsidRPr="00FE5431">
        <w:rPr>
          <w:rFonts w:cs="Arial"/>
        </w:rPr>
        <w:t>ednostki organizacyjne działające w imieniu jednostek samorządu terytorialnego</w:t>
      </w:r>
      <w:r w:rsidR="008F2038" w:rsidRPr="008F2038">
        <w:t xml:space="preserve"> </w:t>
      </w:r>
      <w:r w:rsidR="008F2038" w:rsidRPr="008F2038">
        <w:rPr>
          <w:rFonts w:cs="Arial"/>
        </w:rPr>
        <w:t xml:space="preserve">to </w:t>
      </w:r>
      <w:r w:rsidR="00B012BE">
        <w:rPr>
          <w:rFonts w:cs="Arial"/>
        </w:rPr>
        <w:t>należy wybrać</w:t>
      </w:r>
      <w:r w:rsidR="008F2038" w:rsidRPr="008F2038">
        <w:rPr>
          <w:rFonts w:cs="Arial"/>
        </w:rPr>
        <w:t xml:space="preserve"> „inne państwowe lub samorządowe osoby prawne w rozumieniu art. 9 pkt ustawy z dnia </w:t>
      </w:r>
      <w:r w:rsidR="00F85855">
        <w:rPr>
          <w:rFonts w:cs="Arial"/>
        </w:rPr>
        <w:t xml:space="preserve">27 </w:t>
      </w:r>
      <w:r w:rsidR="008F2038" w:rsidRPr="008F2038">
        <w:rPr>
          <w:rFonts w:cs="Arial"/>
        </w:rPr>
        <w:t xml:space="preserve">sierpnia </w:t>
      </w:r>
      <w:r w:rsidR="00F85855">
        <w:rPr>
          <w:rFonts w:cs="Arial"/>
        </w:rPr>
        <w:t xml:space="preserve">2009 </w:t>
      </w:r>
      <w:r w:rsidR="008F2038" w:rsidRPr="008F2038">
        <w:rPr>
          <w:rFonts w:cs="Arial"/>
        </w:rPr>
        <w:t>r. o finansach publicznyc</w:t>
      </w:r>
      <w:r w:rsidR="008D21C6">
        <w:rPr>
          <w:rFonts w:cs="Arial"/>
        </w:rPr>
        <w:t xml:space="preserve">h (Dz. U. z 2022 r. poz. 1634 z </w:t>
      </w:r>
      <w:proofErr w:type="spellStart"/>
      <w:r w:rsidR="008D21C6">
        <w:rPr>
          <w:rFonts w:cs="Arial"/>
        </w:rPr>
        <w:t>późn</w:t>
      </w:r>
      <w:proofErr w:type="spellEnd"/>
      <w:r w:rsidR="008D21C6">
        <w:rPr>
          <w:rFonts w:cs="Arial"/>
        </w:rPr>
        <w:t>. zm.</w:t>
      </w:r>
      <w:r w:rsidR="008F2038" w:rsidRPr="008F2038">
        <w:rPr>
          <w:rFonts w:cs="Arial"/>
        </w:rPr>
        <w:t>)”,</w:t>
      </w:r>
    </w:p>
    <w:p w14:paraId="5AE37B88" w14:textId="77777777" w:rsidR="00B012BE" w:rsidRPr="00657E32" w:rsidRDefault="00B012BE" w:rsidP="00FE5431">
      <w:pPr>
        <w:rPr>
          <w:rFonts w:cs="Arial"/>
        </w:rPr>
      </w:pPr>
    </w:p>
    <w:p w14:paraId="4A42A20B" w14:textId="77777777" w:rsidR="007130F8" w:rsidRDefault="00657E32" w:rsidP="00657E32">
      <w:pPr>
        <w:rPr>
          <w:rFonts w:cs="Arial"/>
        </w:rPr>
      </w:pPr>
      <w:r w:rsidRPr="00657E32">
        <w:rPr>
          <w:rFonts w:cs="Arial"/>
        </w:rPr>
        <w:t xml:space="preserve">b) w zakresie </w:t>
      </w:r>
      <w:r w:rsidRPr="00657E32">
        <w:rPr>
          <w:rFonts w:cs="Arial"/>
          <w:u w:val="single"/>
        </w:rPr>
        <w:t>formy własności</w:t>
      </w:r>
      <w:r w:rsidRPr="00657E32">
        <w:rPr>
          <w:rFonts w:cs="Arial"/>
        </w:rPr>
        <w:t xml:space="preserve"> należy wybrać</w:t>
      </w:r>
      <w:r w:rsidR="007130F8">
        <w:rPr>
          <w:rFonts w:cs="Arial"/>
        </w:rPr>
        <w:t>:</w:t>
      </w:r>
    </w:p>
    <w:p w14:paraId="0D341C51" w14:textId="758EC2AD" w:rsidR="007130F8" w:rsidRDefault="007130F8" w:rsidP="00657E32">
      <w:pPr>
        <w:rPr>
          <w:rFonts w:cs="Arial"/>
        </w:rPr>
      </w:pPr>
      <w:r>
        <w:rPr>
          <w:rFonts w:cs="Arial"/>
        </w:rPr>
        <w:lastRenderedPageBreak/>
        <w:t xml:space="preserve">- </w:t>
      </w:r>
      <w:r w:rsidR="00657E32" w:rsidRPr="00657E32">
        <w:rPr>
          <w:rFonts w:cs="Arial"/>
        </w:rPr>
        <w:t>„jednostki samorządu terytorialnego lub samorządowe osoby prawne”</w:t>
      </w:r>
      <w:r>
        <w:rPr>
          <w:rFonts w:cs="Arial"/>
        </w:rPr>
        <w:t xml:space="preserve"> lub</w:t>
      </w:r>
    </w:p>
    <w:p w14:paraId="6ABCBBBB" w14:textId="3307961B" w:rsidR="00B012BE" w:rsidRDefault="007130F8" w:rsidP="00657E32">
      <w:pPr>
        <w:rPr>
          <w:rFonts w:cs="Arial"/>
        </w:rPr>
      </w:pPr>
      <w:r>
        <w:rPr>
          <w:rFonts w:cs="Arial"/>
        </w:rPr>
        <w:t xml:space="preserve">- </w:t>
      </w:r>
      <w:r w:rsidR="008F2038">
        <w:rPr>
          <w:rFonts w:cs="Arial"/>
        </w:rPr>
        <w:t>„</w:t>
      </w:r>
      <w:r>
        <w:rPr>
          <w:rFonts w:cs="Arial"/>
        </w:rPr>
        <w:t>p</w:t>
      </w:r>
      <w:r w:rsidR="008F2038" w:rsidRPr="008F2038">
        <w:rPr>
          <w:rFonts w:cs="Arial"/>
        </w:rPr>
        <w:t>aństwowe osoby prawne</w:t>
      </w:r>
      <w:r w:rsidR="000E1366">
        <w:rPr>
          <w:rFonts w:cs="Arial"/>
        </w:rPr>
        <w:t>”</w:t>
      </w:r>
      <w:r w:rsidR="00B012BE">
        <w:rPr>
          <w:rFonts w:cs="Arial"/>
        </w:rPr>
        <w:t>, lub</w:t>
      </w:r>
    </w:p>
    <w:p w14:paraId="3CB3A4D9" w14:textId="157FFDA4" w:rsidR="00657E32" w:rsidRPr="00657E32" w:rsidRDefault="00B012BE" w:rsidP="00657E32">
      <w:pPr>
        <w:rPr>
          <w:rFonts w:cs="Arial"/>
        </w:rPr>
      </w:pPr>
      <w:r>
        <w:rPr>
          <w:rFonts w:cs="Arial"/>
        </w:rPr>
        <w:t>- „pozostałe krajowe jednostki prywatne</w:t>
      </w:r>
      <w:r w:rsidR="008F2038">
        <w:rPr>
          <w:rFonts w:cs="Arial"/>
        </w:rPr>
        <w:t>”</w:t>
      </w:r>
      <w:r w:rsidR="00657E32" w:rsidRPr="00657E32">
        <w:rPr>
          <w:rFonts w:cs="Arial"/>
        </w:rPr>
        <w:t>.</w:t>
      </w:r>
    </w:p>
    <w:p w14:paraId="4AB3916B" w14:textId="77777777" w:rsidR="00657E32" w:rsidRPr="00EB35F2" w:rsidRDefault="00657E32" w:rsidP="001F6B3D">
      <w:pPr>
        <w:rPr>
          <w:rStyle w:val="markedcontent"/>
          <w:rFonts w:cs="Arial"/>
        </w:rPr>
      </w:pPr>
    </w:p>
    <w:p w14:paraId="7FBE80B7" w14:textId="5B6B14C3" w:rsidR="00535FA7" w:rsidRPr="00EB35F2" w:rsidRDefault="00535FA7" w:rsidP="0047485B">
      <w:pPr>
        <w:pStyle w:val="Nagwek4"/>
        <w:rPr>
          <w:rStyle w:val="markedcontent"/>
          <w:b w:val="0"/>
        </w:rPr>
      </w:pPr>
      <w:r w:rsidRPr="00EB35F2">
        <w:t>Wielkość przedsiębiorstwa</w:t>
      </w:r>
    </w:p>
    <w:p w14:paraId="0B6669D7" w14:textId="77777777" w:rsidR="0047485B" w:rsidRDefault="00CB29D3" w:rsidP="0047485B"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55877ECC" w14:textId="77777777" w:rsidR="0047485B" w:rsidRDefault="0047485B" w:rsidP="0047485B"/>
    <w:p w14:paraId="2113419C" w14:textId="32A74179" w:rsidR="00067155" w:rsidRPr="00F7334A" w:rsidRDefault="00067155" w:rsidP="00F7334A">
      <w:pPr>
        <w:pStyle w:val="Nagwek4"/>
        <w:rPr>
          <w:rStyle w:val="markedcontent"/>
        </w:rPr>
      </w:pPr>
      <w:r w:rsidRPr="00F7334A">
        <w:rPr>
          <w:rStyle w:val="markedcontent"/>
        </w:rPr>
        <w:t>Możliwość odzyskania VAT</w:t>
      </w:r>
    </w:p>
    <w:p w14:paraId="5A2CD342" w14:textId="54EB09B8" w:rsidR="0047485B" w:rsidRDefault="00067155" w:rsidP="001F6B3D">
      <w:pPr>
        <w:rPr>
          <w:b/>
          <w:bCs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Euro i bez pomocy publicznej </w:t>
      </w:r>
      <w:r w:rsidR="000F48A8">
        <w:rPr>
          <w:rStyle w:val="markedcontent"/>
          <w:rFonts w:cs="Arial"/>
        </w:rPr>
        <w:t xml:space="preserve">/ pomocy de </w:t>
      </w:r>
      <w:proofErr w:type="spellStart"/>
      <w:r w:rsidR="000F48A8">
        <w:rPr>
          <w:rStyle w:val="markedcontent"/>
          <w:rFonts w:cs="Arial"/>
        </w:rPr>
        <w:t>minimis</w:t>
      </w:r>
      <w:proofErr w:type="spellEnd"/>
      <w:r w:rsidR="000F48A8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bookmarkStart w:id="14" w:name="_Hlk129858701"/>
      <w:r w:rsidR="00B1343A" w:rsidRPr="00931A0F">
        <w:t xml:space="preserve">Do przeliczenia ww. limitu </w:t>
      </w:r>
      <w:bookmarkEnd w:id="14"/>
      <w:r w:rsidR="00B1343A" w:rsidRPr="00931A0F">
        <w:t>5 mln EUR na etapie oceny pro</w:t>
      </w:r>
      <w:r w:rsidR="00B1343A" w:rsidRPr="00931A0F">
        <w:lastRenderedPageBreak/>
        <w:t xml:space="preserve">jektu stosuje się </w:t>
      </w:r>
      <w:bookmarkStart w:id="15" w:name="_Hlk129585450"/>
      <w:r w:rsidR="00B1343A" w:rsidRPr="00931A0F">
        <w:t>miesięczny obrachunkowy kurs wymiany walut stosowany przez KE</w:t>
      </w:r>
      <w:bookmarkEnd w:id="15"/>
      <w:r w:rsidR="00B1343A" w:rsidRPr="00931A0F">
        <w:t xml:space="preserve">, aktualny w </w:t>
      </w:r>
      <w:r w:rsidR="00B1343A" w:rsidRPr="00F2386E">
        <w:t xml:space="preserve">dniu ogłoszenia naboru </w:t>
      </w:r>
      <w:r w:rsidR="00B1343A" w:rsidRPr="00F2386E">
        <w:rPr>
          <w:b/>
          <w:bCs/>
        </w:rPr>
        <w:t>(1 EURO = 4,</w:t>
      </w:r>
      <w:r w:rsidR="00896AE1" w:rsidRPr="00F2386E">
        <w:rPr>
          <w:b/>
          <w:bCs/>
        </w:rPr>
        <w:t>6813</w:t>
      </w:r>
      <w:r w:rsidR="00B1343A" w:rsidRPr="00F2386E">
        <w:rPr>
          <w:b/>
          <w:bCs/>
        </w:rPr>
        <w:t xml:space="preserve"> PLN).</w:t>
      </w:r>
    </w:p>
    <w:p w14:paraId="1EA74C16" w14:textId="09678A91" w:rsidR="00B1343A" w:rsidRPr="009577E5" w:rsidRDefault="00907DF7" w:rsidP="001F6B3D">
      <w:pPr>
        <w:rPr>
          <w:rStyle w:val="markedcontent"/>
          <w:rFonts w:cs="Arial"/>
        </w:rPr>
      </w:pP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</w:t>
      </w:r>
      <w:r w:rsidR="00F7334A">
        <w:rPr>
          <w:rStyle w:val="markedcontent"/>
          <w:rFonts w:cs="Arial"/>
          <w:i/>
          <w:iCs/>
        </w:rPr>
        <w:t xml:space="preserve"> </w:t>
      </w:r>
      <w:r w:rsidR="00B1343A" w:rsidRPr="00931A0F">
        <w:rPr>
          <w:rStyle w:val="markedcontent"/>
          <w:rFonts w:cs="Arial"/>
          <w:i/>
          <w:iCs/>
        </w:rPr>
        <w:t>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47485B">
      <w:pPr>
        <w:pStyle w:val="Nagwek4"/>
      </w:pPr>
      <w:r w:rsidRPr="0047485B">
        <w:rPr>
          <w:rStyle w:val="markedcontent"/>
        </w:rPr>
        <w:t xml:space="preserve">Dane teleadresowe </w:t>
      </w:r>
    </w:p>
    <w:p w14:paraId="09048828" w14:textId="72E640DF" w:rsidR="007F0CA9" w:rsidRDefault="00D23B00" w:rsidP="001F6B3D">
      <w:r w:rsidRPr="00CC4911">
        <w:t xml:space="preserve">Należy odpowiednio wybrać pozycje z list rozwijanych oraz wprowadzić indywidualne dane 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</w:t>
      </w:r>
      <w:r w:rsidR="008975D3" w:rsidRPr="00200CC8">
        <w:lastRenderedPageBreak/>
        <w:t xml:space="preserve">sprawnej skrzynki poczty elektronicznej oraz aktualizacja adresu e-mail, umożliwiające kontakt </w:t>
      </w:r>
      <w:r w:rsidR="00257DC9">
        <w:t>Instytucji O</w:t>
      </w:r>
      <w:r w:rsidR="003C69F5">
        <w:t>rganizujące</w:t>
      </w:r>
      <w:r w:rsidR="00257DC9">
        <w:t xml:space="preserve">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47485B">
      <w:pPr>
        <w:pStyle w:val="Nagwek4"/>
      </w:pPr>
      <w:r w:rsidRPr="007F0CA9">
        <w:t>Dane identyfikacyjne</w:t>
      </w:r>
    </w:p>
    <w:p w14:paraId="42E6F7EF" w14:textId="678FFCBF" w:rsidR="00974A54" w:rsidRDefault="001E02A4" w:rsidP="001F6B3D"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inna osoba prawna należy podać jej NIP lub 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47485B">
      <w:pPr>
        <w:pStyle w:val="Nagwek4"/>
        <w:rPr>
          <w:szCs w:val="22"/>
        </w:rPr>
      </w:pPr>
      <w:r w:rsidRPr="00CD2784">
        <w:t>Czy wnioskodawca przewiduje udział innych podmiotów w realizacji projektu</w:t>
      </w:r>
    </w:p>
    <w:p w14:paraId="1E8A590A" w14:textId="7B051367" w:rsidR="000068C8" w:rsidRDefault="00CD2784" w:rsidP="001F6B3D">
      <w:pPr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lastRenderedPageBreak/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47485B">
      <w:pPr>
        <w:pStyle w:val="Nagwek4"/>
      </w:pPr>
      <w:r w:rsidRPr="00200CC8">
        <w:t>Osoby do kontaktu</w:t>
      </w:r>
    </w:p>
    <w:p w14:paraId="1F3F67E6" w14:textId="505DE10A" w:rsidR="00124FAB" w:rsidRDefault="00200CC8" w:rsidP="001F6B3D">
      <w:pPr>
        <w:rPr>
          <w:szCs w:val="22"/>
        </w:rPr>
      </w:pPr>
      <w:r>
        <w:rPr>
          <w:rStyle w:val="markedcontent"/>
          <w:rFonts w:cs="Arial"/>
        </w:rPr>
        <w:t>Tabela Osoby do kontaktu w sprawach związanych z wnioskiem musi mieć co najmniej jedną pozycję.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931A0F">
        <w:rPr>
          <w:rFonts w:eastAsiaTheme="minorHAnsi"/>
          <w:lang w:eastAsia="en-US"/>
        </w:rPr>
        <w:t xml:space="preserve">Informacje z tej Sekcji będą podstawą do oceny kryterium formalnego standardowego </w:t>
      </w:r>
      <w:r w:rsidR="00124FAB" w:rsidRPr="00931A0F">
        <w:rPr>
          <w:rFonts w:eastAsiaTheme="minorHAnsi"/>
          <w:i/>
          <w:iCs/>
          <w:lang w:eastAsia="en-US"/>
        </w:rPr>
        <w:t>Kwalifikowalność wnioskodawcy / partnera</w:t>
      </w:r>
      <w:r w:rsidR="009E6E4F">
        <w:rPr>
          <w:rFonts w:eastAsiaTheme="minorHAnsi"/>
          <w:i/>
          <w:iCs/>
          <w:lang w:eastAsia="en-US"/>
        </w:rPr>
        <w:t>.</w:t>
      </w:r>
    </w:p>
    <w:p w14:paraId="65B739FD" w14:textId="77777777" w:rsidR="00CD1491" w:rsidRDefault="00CD1491" w:rsidP="00A24FD0">
      <w:pPr>
        <w:spacing w:line="276" w:lineRule="auto"/>
        <w:jc w:val="both"/>
        <w:rPr>
          <w:rFonts w:cs="Arial"/>
          <w:szCs w:val="22"/>
        </w:rPr>
      </w:pPr>
    </w:p>
    <w:p w14:paraId="05A204FE" w14:textId="472FEB27" w:rsidR="00B7076E" w:rsidRDefault="006D2B13" w:rsidP="00E176A5">
      <w:pPr>
        <w:pStyle w:val="Nagwek2"/>
        <w:jc w:val="center"/>
      </w:pPr>
      <w:bookmarkStart w:id="16" w:name="_Toc129688635"/>
      <w:bookmarkStart w:id="17" w:name="_Toc130210484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16"/>
      <w:bookmarkEnd w:id="17"/>
      <w:r w:rsidR="00907DF7">
        <w:br/>
      </w:r>
    </w:p>
    <w:p w14:paraId="6D4228BA" w14:textId="0740468E" w:rsidR="00F92FEC" w:rsidRDefault="00B7076E" w:rsidP="00F92FEC">
      <w:pPr>
        <w:spacing w:line="276" w:lineRule="auto"/>
        <w:jc w:val="both"/>
        <w:rPr>
          <w:rFonts w:eastAsia="Calibri" w:cs="Arial"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>
        <w:rPr>
          <w:rFonts w:eastAsia="Calibri" w:cs="Arial"/>
          <w:lang w:eastAsia="en-US"/>
        </w:rPr>
        <w:t>Sekcji III</w:t>
      </w:r>
      <w:r w:rsidRPr="00CC4911">
        <w:rPr>
          <w:rFonts w:eastAsia="Calibri" w:cs="Arial"/>
          <w:lang w:eastAsia="en-US"/>
        </w:rPr>
        <w:t xml:space="preserve"> należy zapoznać się </w:t>
      </w:r>
      <w:r w:rsidRPr="00137452">
        <w:rPr>
          <w:rFonts w:eastAsia="Calibri" w:cs="Arial"/>
          <w:lang w:eastAsia="en-US"/>
        </w:rPr>
        <w:t xml:space="preserve">z </w:t>
      </w:r>
      <w:r>
        <w:rPr>
          <w:rFonts w:eastAsia="Calibri" w:cs="Arial"/>
          <w:lang w:eastAsia="en-US"/>
        </w:rPr>
        <w:t>z</w:t>
      </w:r>
      <w:r w:rsidRPr="00137452">
        <w:rPr>
          <w:rFonts w:eastAsia="Calibri" w:cs="Arial"/>
          <w:lang w:eastAsia="en-US"/>
        </w:rPr>
        <w:t xml:space="preserve">ałącznikiem nr </w:t>
      </w:r>
      <w:r w:rsidR="0004648A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- </w:t>
      </w:r>
      <w:r>
        <w:rPr>
          <w:rFonts w:eastAsia="Calibri" w:cs="Arial"/>
          <w:b/>
          <w:lang w:eastAsia="en-US"/>
        </w:rPr>
        <w:t>Lista wskaźników</w:t>
      </w:r>
      <w:r w:rsidR="00F96C95">
        <w:rPr>
          <w:rFonts w:eastAsia="Calibri" w:cs="Arial"/>
          <w:b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  <w:r w:rsidR="00F92FEC">
        <w:rPr>
          <w:rFonts w:eastAsia="Calibri" w:cs="Arial"/>
          <w:b/>
          <w:lang w:eastAsia="en-US"/>
        </w:rPr>
        <w:t xml:space="preserve"> </w:t>
      </w:r>
    </w:p>
    <w:p w14:paraId="233430AC" w14:textId="30E09FDA" w:rsidR="00B7076E" w:rsidRDefault="00B7076E" w:rsidP="00B7076E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E176A5">
      <w:pPr>
        <w:pStyle w:val="Nagwek3"/>
        <w:rPr>
          <w:rFonts w:eastAsia="Calibri"/>
          <w:lang w:eastAsia="en-US"/>
        </w:rPr>
      </w:pPr>
      <w:r w:rsidRPr="00907DF7">
        <w:lastRenderedPageBreak/>
        <w:t xml:space="preserve">Wskaźniki produktu </w:t>
      </w:r>
      <w:r w:rsidR="00907DF7">
        <w:br/>
      </w:r>
    </w:p>
    <w:p w14:paraId="64FD9654" w14:textId="537767BE" w:rsidR="006D2B13" w:rsidRDefault="006D2B13" w:rsidP="00BF51D4">
      <w:pPr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18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18"/>
      <w:r w:rsidR="008B0F9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19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19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 xml:space="preserve">dokumentacją. Osiągnięcie wskaźników produktu </w:t>
      </w:r>
      <w:r w:rsidRPr="00BF51D4">
        <w:rPr>
          <w:rFonts w:eastAsia="Calibri"/>
        </w:rPr>
        <w:lastRenderedPageBreak/>
        <w:t>powinno zostać wykazane najpóźniej we wniosku o płatność końcową.</w:t>
      </w:r>
    </w:p>
    <w:p w14:paraId="3D17DFAB" w14:textId="1DD1AECF" w:rsidR="0018233F" w:rsidRPr="003C7C43" w:rsidRDefault="0018233F" w:rsidP="006D2B13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E176A5">
      <w:pPr>
        <w:pStyle w:val="Nagwek3"/>
        <w:rPr>
          <w:rFonts w:eastAsia="Calibri"/>
          <w:lang w:eastAsia="en-US"/>
        </w:rPr>
      </w:pPr>
      <w:r w:rsidRPr="003C7C43">
        <w:rPr>
          <w:rFonts w:eastAsia="Calibri"/>
          <w:lang w:eastAsia="en-US"/>
        </w:rPr>
        <w:t>Podział na płeć</w:t>
      </w:r>
    </w:p>
    <w:p w14:paraId="0DE3CB73" w14:textId="41B51FBE" w:rsidR="0018233F" w:rsidRPr="00D67AF3" w:rsidRDefault="003C7C43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6D2B13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Pr="00012362" w:rsidRDefault="0018233F" w:rsidP="00012362">
      <w:pPr>
        <w:pStyle w:val="Nagwek3"/>
        <w:rPr>
          <w:rStyle w:val="markedcontent"/>
        </w:rPr>
      </w:pPr>
      <w:r w:rsidRPr="00012362">
        <w:rPr>
          <w:rStyle w:val="markedcontent"/>
        </w:rPr>
        <w:t>Wartość docelowa ogółem</w:t>
      </w:r>
    </w:p>
    <w:p w14:paraId="49D719E9" w14:textId="7A663CD1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Pr="00012362" w:rsidRDefault="008650AF" w:rsidP="00012362">
      <w:pPr>
        <w:pStyle w:val="Nagwek3"/>
        <w:rPr>
          <w:rStyle w:val="markedcontent"/>
        </w:rPr>
      </w:pPr>
      <w:r w:rsidRPr="00012362">
        <w:rPr>
          <w:rStyle w:val="markedcontent"/>
        </w:rPr>
        <w:t>Sposób pomiaru wskaźnika</w:t>
      </w:r>
    </w:p>
    <w:p w14:paraId="3CE74294" w14:textId="0296F42D" w:rsidR="00197F5B" w:rsidRPr="00197F5B" w:rsidRDefault="009B4407" w:rsidP="00BF51D4">
      <w:pPr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8650AF">
        <w:rPr>
          <w:rStyle w:val="markedcontent"/>
          <w:rFonts w:cs="Arial"/>
          <w:b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2F6563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 xml:space="preserve">W przypadku projektów partnerskich należy podać wartości </w:t>
      </w:r>
      <w:r w:rsidR="00197F5B" w:rsidRPr="00197F5B">
        <w:rPr>
          <w:szCs w:val="22"/>
        </w:rPr>
        <w:lastRenderedPageBreak/>
        <w:t>sumaryczne obejmujące efekty działań Wnioskodawcy i Partnerów.</w:t>
      </w:r>
      <w:r w:rsidR="00BF51D4">
        <w:rPr>
          <w:szCs w:val="22"/>
        </w:rPr>
        <w:br/>
      </w:r>
    </w:p>
    <w:p w14:paraId="75633AFD" w14:textId="061630AB" w:rsidR="008650AF" w:rsidRPr="00D67AF3" w:rsidRDefault="00197F5B" w:rsidP="00BF51D4">
      <w:pPr>
        <w:rPr>
          <w:rFonts w:eastAsia="Calibri"/>
          <w:lang w:eastAsia="en-US"/>
        </w:rPr>
      </w:pPr>
      <w:r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3C7C43" w:rsidRPr="00D67AF3">
        <w:rPr>
          <w:rStyle w:val="markedcontent"/>
          <w:rFonts w:cs="Arial"/>
        </w:rPr>
        <w:t xml:space="preserve"> dopuszcza się przedstawienie ww. informacji w </w:t>
      </w:r>
      <w:r w:rsidR="008650AF" w:rsidRPr="00D67AF3">
        <w:rPr>
          <w:rStyle w:val="markedcontent"/>
          <w:rFonts w:cs="Arial"/>
        </w:rPr>
        <w:t xml:space="preserve">zał. nr 4 do wniosku pn. </w:t>
      </w:r>
      <w:r w:rsidR="008650AF" w:rsidRPr="00D67AF3">
        <w:rPr>
          <w:rStyle w:val="markedcontent"/>
          <w:rFonts w:cs="Arial"/>
          <w:i/>
        </w:rPr>
        <w:t xml:space="preserve">Uzasadnienie i 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 xml:space="preserve"> </w:t>
      </w:r>
    </w:p>
    <w:p w14:paraId="0BC10B30" w14:textId="064B8F27" w:rsidR="00B7076E" w:rsidRDefault="006D2B13" w:rsidP="00012362">
      <w:pPr>
        <w:pStyle w:val="Nagwek3"/>
        <w:rPr>
          <w:color w:val="000000"/>
          <w:szCs w:val="22"/>
        </w:rPr>
      </w:pPr>
      <w:r w:rsidRPr="00402D66">
        <w:rPr>
          <w:rFonts w:eastAsia="Calibri"/>
        </w:rPr>
        <w:t xml:space="preserve">Wskaźniki rezultatu </w:t>
      </w:r>
      <w:r w:rsidR="00BF51D4">
        <w:rPr>
          <w:rFonts w:eastAsia="Calibri"/>
        </w:rPr>
        <w:br/>
      </w:r>
    </w:p>
    <w:p w14:paraId="5BFFED61" w14:textId="6B270284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lastRenderedPageBreak/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>W przedmiotowym naborze nie mają zastosowania wskaźniki „Dodatkowe” oraz „Własne”, 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012362">
      <w:pPr>
        <w:pStyle w:val="Nagwek3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012362" w:rsidRDefault="00562594" w:rsidP="00012362">
      <w:pPr>
        <w:pStyle w:val="Nagwek3"/>
        <w:rPr>
          <w:rFonts w:eastAsia="Calibri"/>
          <w:lang w:eastAsia="en-US"/>
        </w:rPr>
      </w:pPr>
      <w:r w:rsidRPr="00012362">
        <w:rPr>
          <w:rFonts w:eastAsia="Calibri"/>
          <w:lang w:eastAsia="en-US"/>
        </w:rPr>
        <w:lastRenderedPageBreak/>
        <w:t>Wartość bazowa</w:t>
      </w:r>
      <w:r w:rsidRPr="00012362">
        <w:rPr>
          <w:rFonts w:eastAsia="Calibri"/>
          <w:b w:val="0"/>
          <w:lang w:eastAsia="en-US"/>
        </w:rPr>
        <w:t xml:space="preserve"> – </w:t>
      </w:r>
      <w:r w:rsidRPr="00012362">
        <w:rPr>
          <w:rFonts w:eastAsia="Calibri"/>
          <w:lang w:eastAsia="en-US"/>
        </w:rPr>
        <w:t>ogółem</w:t>
      </w:r>
    </w:p>
    <w:p w14:paraId="3AF87466" w14:textId="77777777" w:rsidR="0047485B" w:rsidRDefault="00562594" w:rsidP="0047485B"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z definicji wskaźnika wynika inaczej</w:t>
      </w:r>
      <w:r w:rsidRPr="00564EC6">
        <w:t>.</w:t>
      </w:r>
    </w:p>
    <w:p w14:paraId="3FC3132A" w14:textId="77777777" w:rsidR="0047485B" w:rsidRDefault="0047485B" w:rsidP="0047485B"/>
    <w:p w14:paraId="2AB2E612" w14:textId="0B4A62F5" w:rsidR="00562594" w:rsidRPr="00C13EAB" w:rsidRDefault="00562594" w:rsidP="00012362">
      <w:pPr>
        <w:pStyle w:val="Nagwek3"/>
        <w:rPr>
          <w:rFonts w:eastAsia="Calibri"/>
          <w:lang w:eastAsia="en-US"/>
        </w:rPr>
      </w:pPr>
      <w:r w:rsidRPr="00C13EAB">
        <w:rPr>
          <w:rStyle w:val="markedcontent"/>
        </w:rPr>
        <w:t>Wartość docelowa - ogółem</w:t>
      </w:r>
    </w:p>
    <w:p w14:paraId="1894ABC6" w14:textId="64376D68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podajemy wartość docelową wskaźnika, której osiągnięcie będzie uznane za zrealizowanie wskazanego celu. </w:t>
      </w:r>
      <w:r w:rsidR="005E64CE" w:rsidRPr="008B0F9B">
        <w:t>Rok docelowy dla wskaźników rezultatu</w:t>
      </w:r>
      <w:r w:rsidR="005E64CE" w:rsidRPr="009A3712">
        <w:t xml:space="preserve"> jest określony w 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9A3712">
        <w:t>. Link:</w:t>
      </w:r>
      <w:r w:rsidR="00BF51D4">
        <w:br/>
      </w:r>
      <w:hyperlink r:id="rId10" w:tgtFrame="_self" w:tooltip="Link do zewnętrznej strony otwiera się w tym samym oknie" w:history="1">
        <w:r w:rsidR="009A3712" w:rsidRPr="00287EAB">
          <w:rPr>
            <w:rStyle w:val="Hipercze"/>
            <w:rFonts w:cs="Arial"/>
            <w:sz w:val="20"/>
          </w:rPr>
          <w:t>https://www.funduszeeuropejskie.gov.pl/media/111528/Wytyczne_monitorowanie_pdf.pdf</w:t>
        </w:r>
      </w:hyperlink>
      <w:r w:rsidR="00BF51D4">
        <w:rPr>
          <w:rStyle w:val="Hipercze"/>
          <w:rFonts w:cs="Arial"/>
          <w:sz w:val="20"/>
        </w:rPr>
        <w:br/>
      </w:r>
    </w:p>
    <w:p w14:paraId="3819CCC4" w14:textId="77777777" w:rsidR="009B4407" w:rsidRPr="008B0F9B" w:rsidRDefault="009B4407" w:rsidP="00012362">
      <w:pPr>
        <w:pStyle w:val="Nagwek3"/>
        <w:rPr>
          <w:rStyle w:val="markedcontent"/>
        </w:rPr>
      </w:pPr>
      <w:r w:rsidRPr="008B0F9B">
        <w:rPr>
          <w:rStyle w:val="markedcontent"/>
        </w:rPr>
        <w:t>Sposób pomiaru wskaźnika</w:t>
      </w:r>
    </w:p>
    <w:p w14:paraId="1D125F5E" w14:textId="466AF2D8" w:rsidR="00C845F8" w:rsidRPr="0004648A" w:rsidRDefault="009B4407" w:rsidP="001F6B3D">
      <w:pPr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  <w:b/>
        </w:rPr>
        <w:lastRenderedPageBreak/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2F6563">
        <w:rPr>
          <w:rStyle w:val="markedcontent"/>
          <w:rFonts w:cs="Arial"/>
        </w:rPr>
        <w:t>.</w:t>
      </w:r>
      <w:r w:rsidR="004C4E65">
        <w:rPr>
          <w:rStyle w:val="markedcontent"/>
          <w:rFonts w:cs="Arial"/>
        </w:rPr>
        <w:t xml:space="preserve"> </w:t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dopuszcza się przedstawienie ww. informacji w zał. nr 4 do wniosku pn. </w:t>
      </w:r>
      <w:r w:rsidR="00197F5B" w:rsidRPr="00D67AF3">
        <w:rPr>
          <w:rStyle w:val="markedcontent"/>
          <w:rFonts w:cs="Arial"/>
          <w:i/>
        </w:rPr>
        <w:t>Uzasadnienie i 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20" w:name="_Hlk129765926"/>
      <w:r w:rsidR="003D027C" w:rsidRPr="00931A0F">
        <w:rPr>
          <w:b/>
          <w:i/>
          <w:iCs/>
        </w:rPr>
        <w:t>Poprawność wyboru wskaźników</w:t>
      </w:r>
      <w:bookmarkEnd w:id="20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C468EC1" w14:textId="76EEFC3F" w:rsidR="009A65C3" w:rsidRPr="00E176A5" w:rsidRDefault="00C75620" w:rsidP="00E176A5">
      <w:pPr>
        <w:pStyle w:val="Nagwek2"/>
        <w:jc w:val="center"/>
      </w:pPr>
      <w:bookmarkStart w:id="21" w:name="_Toc129688636"/>
      <w:bookmarkStart w:id="22" w:name="_Toc130210485"/>
      <w:r w:rsidRPr="00C75620">
        <w:lastRenderedPageBreak/>
        <w:t>Sekcja IV Zadania</w:t>
      </w:r>
      <w:bookmarkEnd w:id="21"/>
      <w:bookmarkEnd w:id="22"/>
    </w:p>
    <w:p w14:paraId="6FA85A50" w14:textId="77777777" w:rsidR="00BF51D4" w:rsidRDefault="009A65C3" w:rsidP="001F6B3D"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5E6CFEAE" w:rsidR="00BF51D4" w:rsidRPr="00E176A5" w:rsidRDefault="009A65C3" w:rsidP="00E176A5">
      <w:pPr>
        <w:pStyle w:val="Nagwek3"/>
      </w:pPr>
      <w:r w:rsidRPr="00E176A5">
        <w:t>Datę rozpoczęcia i zakończenia</w:t>
      </w:r>
    </w:p>
    <w:p w14:paraId="0D8AB2AE" w14:textId="77777777" w:rsidR="00613894" w:rsidRDefault="00055068" w:rsidP="001F6B3D"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E176A5">
      <w:pPr>
        <w:pStyle w:val="Nagwek3"/>
      </w:pPr>
      <w:r w:rsidRPr="00442D82">
        <w:t>Nazwę zadania</w:t>
      </w:r>
    </w:p>
    <w:p w14:paraId="0B32A17E" w14:textId="77777777" w:rsidR="00613894" w:rsidRDefault="009A65C3" w:rsidP="001F6B3D"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E176A5">
      <w:pPr>
        <w:pStyle w:val="Nagwek3"/>
      </w:pPr>
      <w:r w:rsidRPr="00442D82">
        <w:lastRenderedPageBreak/>
        <w:t>Opis i uzasadnienie zadania</w:t>
      </w:r>
      <w:r>
        <w:t xml:space="preserve"> </w:t>
      </w:r>
    </w:p>
    <w:p w14:paraId="70087249" w14:textId="7581C69D" w:rsidR="00613894" w:rsidRDefault="00D6310C" w:rsidP="008B0F9B">
      <w:pPr>
        <w:rPr>
          <w:rFonts w:cs="Arial"/>
        </w:rPr>
      </w:pPr>
      <w:r>
        <w:t>– limit 3</w:t>
      </w:r>
      <w:r w:rsidR="009A65C3"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technicznej!)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  <w:r w:rsidR="00BF51D4" w:rsidRPr="001F6B3D">
        <w:br/>
      </w:r>
      <w:r w:rsidR="00BF51D4" w:rsidRPr="001F6B3D"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</w:t>
      </w:r>
      <w:r w:rsidR="000959FE" w:rsidRPr="008B0F9B">
        <w:lastRenderedPageBreak/>
        <w:t>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8B0F9B">
        <w:t>Katalog</w:t>
      </w:r>
      <w:r w:rsidR="00AC3E3B" w:rsidRPr="008B0F9B">
        <w:t>i</w:t>
      </w:r>
      <w:r w:rsidR="00230420" w:rsidRPr="008B0F9B">
        <w:t xml:space="preserve"> wydatków w ramach programu regionalnego Fundusze Europejskie dla Podkarpacia 2021-2027</w:t>
      </w:r>
      <w:r w:rsidR="00AC3E3B" w:rsidRPr="008B0F9B">
        <w:t>(cześć EFRR)</w:t>
      </w:r>
      <w:r w:rsidR="00230420" w:rsidRPr="008B0F9B">
        <w:t>.</w:t>
      </w:r>
    </w:p>
    <w:p w14:paraId="4A98F413" w14:textId="0F154B71" w:rsidR="002202A6" w:rsidRDefault="00442D82" w:rsidP="00E176A5">
      <w:pPr>
        <w:pStyle w:val="Nagwek3"/>
      </w:pPr>
      <w:r w:rsidRPr="0070560A">
        <w:t>Koszty pośrednie</w:t>
      </w:r>
    </w:p>
    <w:p w14:paraId="068115E9" w14:textId="5A3EC9FF" w:rsidR="00D541D6" w:rsidRDefault="002202A6" w:rsidP="008B0F9B">
      <w:pPr>
        <w:rPr>
          <w:rFonts w:eastAsiaTheme="minorHAnsi"/>
          <w:b/>
          <w:lang w:eastAsia="en-US"/>
        </w:rPr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rPr>
          <w:rStyle w:val="Odwoanieprzypisudolnego"/>
          <w:rFonts w:cs="Arial"/>
        </w:rPr>
        <w:footnoteReference w:id="1"/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  <w:r w:rsidR="00613894">
        <w:br/>
      </w:r>
      <w:r w:rsidRPr="002202A6">
        <w:t xml:space="preserve"> - </w:t>
      </w:r>
      <w:r w:rsidRPr="002202A6">
        <w:rPr>
          <w:b/>
        </w:rPr>
        <w:t>może być podana</w:t>
      </w:r>
      <w:r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</w:t>
      </w:r>
      <w:r w:rsidR="00F90CD3" w:rsidRPr="0070560A">
        <w:lastRenderedPageBreak/>
        <w:t xml:space="preserve">może być zaznaczone jako koszty pośrednie. Zadanie o nazwie „Koszty pośrednie” jest zawsze umieszczone na końcu tabeli i otrzymuje ostatni numer. 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0560A">
        <w:t>Katalog</w:t>
      </w:r>
      <w:r w:rsidR="007A1416">
        <w:t>i</w:t>
      </w:r>
      <w:r w:rsidR="007A1416" w:rsidRPr="0070560A">
        <w:t xml:space="preserve"> </w:t>
      </w:r>
      <w:r w:rsidR="0070560A" w:rsidRPr="0070560A">
        <w:t>wydatków w ramach programu regionalnego Fundusze Europejskie dla Podkarpacia 2021-2027 (część EFRR).</w:t>
      </w:r>
      <w:r w:rsidR="00613894">
        <w:br/>
      </w:r>
      <w:bookmarkStart w:id="23" w:name="_Hlk129765034"/>
      <w:bookmarkStart w:id="24" w:name="_Hlk129765356"/>
      <w:bookmarkStart w:id="25" w:name="_Hlk129764806"/>
    </w:p>
    <w:p w14:paraId="760E3399" w14:textId="4924092E" w:rsidR="00442D82" w:rsidRDefault="00124FAB" w:rsidP="008B0F9B"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26" w:name="_Hlk129764403"/>
      <w:bookmarkEnd w:id="23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27" w:name="_Hlk129764946"/>
      <w:bookmarkStart w:id="28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24"/>
      <w:bookmarkEnd w:id="26"/>
      <w:bookmarkEnd w:id="27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28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(Zgodność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29" w:name="_Hlk129764552"/>
      <w:bookmarkStart w:id="30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29"/>
      <w:r w:rsidR="00CB482E" w:rsidRPr="00E065E8">
        <w:rPr>
          <w:b/>
          <w:i/>
          <w:iCs/>
        </w:rPr>
        <w:t>Okres realizacji projektu</w:t>
      </w:r>
      <w:bookmarkEnd w:id="30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lastRenderedPageBreak/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1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31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2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32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25"/>
    </w:p>
    <w:p w14:paraId="22CC8583" w14:textId="15B221CE" w:rsidR="00DE43C6" w:rsidRDefault="00F90CD3" w:rsidP="00E176A5">
      <w:pPr>
        <w:pStyle w:val="Nagwek2"/>
        <w:jc w:val="center"/>
        <w:rPr>
          <w:rFonts w:cs="Arial"/>
        </w:rPr>
      </w:pPr>
      <w:bookmarkStart w:id="33" w:name="_Toc129688637"/>
      <w:bookmarkStart w:id="34" w:name="_Toc130210486"/>
      <w:bookmarkStart w:id="35" w:name="_GoBack"/>
      <w:bookmarkEnd w:id="35"/>
      <w:r w:rsidRPr="00F90CD3">
        <w:t>Sekcja V Budżet projektu</w:t>
      </w:r>
      <w:bookmarkEnd w:id="33"/>
      <w:bookmarkEnd w:id="34"/>
    </w:p>
    <w:p w14:paraId="042E0081" w14:textId="3F26EAB3" w:rsidR="00D72181" w:rsidRPr="008909B7" w:rsidRDefault="00DE43C6" w:rsidP="00613894">
      <w:pPr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</w:t>
      </w:r>
      <w:r w:rsidR="00F85855">
        <w:t>e</w:t>
      </w:r>
      <w:r w:rsidR="008F6734">
        <w:t xml:space="preserve"> są</w:t>
      </w:r>
      <w:r w:rsidRPr="008909B7">
        <w:t xml:space="preserve"> automatycznie z sekcji IV.</w:t>
      </w:r>
      <w:r w:rsidR="00613894">
        <w:br/>
      </w:r>
      <w:r w:rsidRPr="008909B7">
        <w:t>Dla każdego zadania można wskazać kilka odrębnych kosztów. Wydatki należy podawać w kwotach brutto. Jeżeli VAT lub jakaś część wydatków nie jest kwalifikowana, wówczas kwota wydatku kwalifikowalnego będzie niższa od wartości ogółem.</w:t>
      </w:r>
      <w:r w:rsidR="00613894">
        <w:br/>
      </w:r>
    </w:p>
    <w:p w14:paraId="47A65922" w14:textId="4B753BDD" w:rsidR="00592283" w:rsidRPr="00613894" w:rsidRDefault="00D72181" w:rsidP="00613894">
      <w:r>
        <w:t xml:space="preserve">1. </w:t>
      </w:r>
      <w:r w:rsidR="00DE43C6" w:rsidRPr="008909B7">
        <w:t xml:space="preserve">Dla każdego </w:t>
      </w:r>
      <w:r w:rsidR="00DE43C6" w:rsidRPr="008B0F9B">
        <w:t xml:space="preserve">kosztu </w:t>
      </w:r>
      <w:r w:rsidR="00D96FE4" w:rsidRPr="00C5118B">
        <w:t xml:space="preserve">bezpośredniego </w:t>
      </w:r>
      <w:r w:rsidR="00DE43C6"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lastRenderedPageBreak/>
        <w:t>- podać wartość ogółem, wartość wydatków kwalifikowanych i dofinansowania,</w:t>
      </w:r>
      <w:r w:rsidR="00613894">
        <w:br/>
      </w:r>
      <w:r w:rsidR="00822353">
        <w:t>- poda</w:t>
      </w:r>
      <w:r w:rsidR="00C845F8">
        <w:t>ć, czy wydatek podlega limitom</w:t>
      </w:r>
      <w:r w:rsidR="003C69F5">
        <w:t>,</w:t>
      </w:r>
      <w:r w:rsidR="00613894">
        <w:rPr>
          <w:bCs/>
        </w:rPr>
        <w:br/>
      </w:r>
      <w:r w:rsidR="00822353">
        <w:t>- wybrać Realizatora, czyli Wnioskodawcę lub Partnera.</w:t>
      </w:r>
      <w:r w:rsidR="00613894">
        <w:br/>
      </w:r>
      <w:r w:rsidR="00613894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składająca się z 4 kolumn. W pierwszej kolumnie nalezy wskazać liczbe porządkową. Kolumna druga zawiera kategorię kosztów, kolumna trzecia zawiera nazwę kosztów. Kolumna czwarta zawiera wskazówki użycia wskazanej kategorii kosztów.  "/>
      </w:tblPr>
      <w:tblGrid>
        <w:gridCol w:w="697"/>
        <w:gridCol w:w="1987"/>
        <w:gridCol w:w="1733"/>
        <w:gridCol w:w="4792"/>
      </w:tblGrid>
      <w:tr w:rsidR="00A2143D" w:rsidRPr="00A2143D" w14:paraId="5DE6B687" w14:textId="77777777" w:rsidTr="00805AAD">
        <w:trPr>
          <w:trHeight w:val="597"/>
          <w:tblHeader/>
        </w:trPr>
        <w:tc>
          <w:tcPr>
            <w:tcW w:w="698" w:type="dxa"/>
            <w:shd w:val="clear" w:color="auto" w:fill="auto"/>
            <w:vAlign w:val="center"/>
          </w:tcPr>
          <w:p w14:paraId="1185A39B" w14:textId="77777777" w:rsidR="00592283" w:rsidRPr="00A2143D" w:rsidRDefault="00592283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E23A23" w14:textId="6C554ADB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805AAD">
        <w:trPr>
          <w:trHeight w:val="531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21B6D" w14:textId="64B56536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52DBE4" w14:textId="50B7B085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805AAD">
        <w:trPr>
          <w:trHeight w:val="672"/>
        </w:trPr>
        <w:tc>
          <w:tcPr>
            <w:tcW w:w="698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7ACEA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7539B1" w14:textId="067EC1F9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związanej z przygotowaniem projektu, tj. sporządzeniem wniosku o dofinansowanie i wymaganych załączników (w tym studium wykonalności, 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805AAD">
        <w:trPr>
          <w:trHeight w:val="1091"/>
        </w:trPr>
        <w:tc>
          <w:tcPr>
            <w:tcW w:w="698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70AD2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A6F122" w14:textId="02C08B9E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805AAD">
        <w:trPr>
          <w:trHeight w:val="1135"/>
        </w:trPr>
        <w:tc>
          <w:tcPr>
            <w:tcW w:w="698" w:type="dxa"/>
            <w:shd w:val="clear" w:color="auto" w:fill="auto"/>
            <w:vAlign w:val="center"/>
          </w:tcPr>
          <w:p w14:paraId="22C50C29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70403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1DBF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EE293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805AAD">
        <w:trPr>
          <w:trHeight w:val="1027"/>
        </w:trPr>
        <w:tc>
          <w:tcPr>
            <w:tcW w:w="698" w:type="dxa"/>
            <w:shd w:val="clear" w:color="auto" w:fill="auto"/>
            <w:vAlign w:val="center"/>
          </w:tcPr>
          <w:p w14:paraId="17A9156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A7EA1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3E21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1B5B6A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805AAD">
        <w:trPr>
          <w:trHeight w:val="141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EBCA" w14:textId="06E1F7A9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C00875" w14:textId="6C758D70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805AAD">
        <w:trPr>
          <w:trHeight w:val="556"/>
        </w:trPr>
        <w:tc>
          <w:tcPr>
            <w:tcW w:w="698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D430B" w14:textId="168298A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91CE72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805AAD">
        <w:trPr>
          <w:trHeight w:val="1126"/>
        </w:trPr>
        <w:tc>
          <w:tcPr>
            <w:tcW w:w="698" w:type="dxa"/>
            <w:shd w:val="clear" w:color="auto" w:fill="auto"/>
            <w:vAlign w:val="center"/>
          </w:tcPr>
          <w:p w14:paraId="2BCDE52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DC8726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973F3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22257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805AAD">
        <w:trPr>
          <w:trHeight w:val="986"/>
        </w:trPr>
        <w:tc>
          <w:tcPr>
            <w:tcW w:w="698" w:type="dxa"/>
            <w:shd w:val="clear" w:color="auto" w:fill="auto"/>
            <w:vAlign w:val="center"/>
          </w:tcPr>
          <w:p w14:paraId="5AFAE6D0" w14:textId="5147BA8E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6759473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CE647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AB1E38" w14:textId="5CDF47A9" w:rsidR="00592283" w:rsidRPr="00A2143D" w:rsidRDefault="005B51C0" w:rsidP="00CB116D">
            <w:pPr>
              <w:rPr>
                <w:rFonts w:cs="Arial"/>
              </w:rPr>
            </w:pPr>
            <w:r>
              <w:rPr>
                <w:rFonts w:cs="Arial"/>
              </w:rPr>
              <w:t>Obejmuje koszt zleconych usług</w:t>
            </w:r>
            <w:r w:rsidR="00592283" w:rsidRPr="00A2143D">
              <w:rPr>
                <w:rFonts w:cs="Arial"/>
              </w:rPr>
              <w:t xml:space="preserve"> nadzoru inwestorskiego, inżyniera kontraktu, nie ma </w:t>
            </w:r>
            <w:r w:rsidR="00592283" w:rsidRPr="00A2143D">
              <w:rPr>
                <w:rFonts w:cs="Arial"/>
              </w:rPr>
              <w:lastRenderedPageBreak/>
              <w:t>potrzeby wydzielać w ramach kategorii bardziej szczegółowych nazw.</w:t>
            </w:r>
          </w:p>
        </w:tc>
      </w:tr>
      <w:tr w:rsidR="00A2143D" w:rsidRPr="00A2143D" w14:paraId="1F3EF160" w14:textId="77777777" w:rsidTr="00805AAD">
        <w:trPr>
          <w:trHeight w:val="1320"/>
        </w:trPr>
        <w:tc>
          <w:tcPr>
            <w:tcW w:w="698" w:type="dxa"/>
            <w:shd w:val="clear" w:color="auto" w:fill="auto"/>
            <w:vAlign w:val="center"/>
          </w:tcPr>
          <w:p w14:paraId="39CBDDF4" w14:textId="16C68356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EB80C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79F78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 stanowiące środków trwałych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6D82C7" w14:textId="69BE0BE2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805AAD">
        <w:trPr>
          <w:trHeight w:val="1086"/>
        </w:trPr>
        <w:tc>
          <w:tcPr>
            <w:tcW w:w="698" w:type="dxa"/>
            <w:shd w:val="clear" w:color="auto" w:fill="auto"/>
            <w:vAlign w:val="center"/>
          </w:tcPr>
          <w:p w14:paraId="4CBEA4A0" w14:textId="6F28E80C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BE632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F487B3F" w14:textId="12A43B4C" w:rsidR="00183C62" w:rsidRPr="00CB116D" w:rsidRDefault="00613894" w:rsidP="005628A8">
      <w:pPr>
        <w:rPr>
          <w:b/>
          <w:sz w:val="20"/>
        </w:rPr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 xml:space="preserve">zamówienie udzielane ma być np. przez Wnioskodawcę, ale w imieniu i na </w:t>
      </w:r>
      <w:r w:rsidR="00592283" w:rsidRPr="00A2143D">
        <w:lastRenderedPageBreak/>
        <w:t>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>w pozycji „Rodzaj ryczałtu”</w:t>
      </w:r>
      <w:r w:rsidR="00931A0F">
        <w:t xml:space="preserve"> wybrać „stawka ryczałtowa”,</w:t>
      </w:r>
      <w:r w:rsidR="005628A8">
        <w:br/>
      </w:r>
      <w:r w:rsidR="00931A0F">
        <w:t xml:space="preserve"> - </w:t>
      </w:r>
      <w:r w:rsidR="00B61DA4">
        <w:t xml:space="preserve">wybrać </w:t>
      </w:r>
      <w:r w:rsidR="0017537A">
        <w:t xml:space="preserve">nazwę </w:t>
      </w:r>
      <w:r w:rsidR="0017537A" w:rsidRPr="0017537A">
        <w:t>„Koszty pośrednie – 0,5% od kwalifikowalnych kosztów bezpośrednich”</w:t>
      </w:r>
      <w:r w:rsidR="0085280D">
        <w:t>,</w:t>
      </w:r>
      <w:r w:rsidR="005628A8">
        <w:br/>
      </w:r>
      <w:r w:rsidR="00E64D99">
        <w:t xml:space="preserve">- system automatycznie wyliczy Wartość ogółem i </w:t>
      </w:r>
      <w:r w:rsidR="00E26203">
        <w:t xml:space="preserve">Wydatki </w:t>
      </w:r>
      <w:r w:rsidR="00E13DCC">
        <w:t>kwalifikowane,</w:t>
      </w:r>
      <w:r w:rsidR="005628A8">
        <w:br/>
      </w:r>
      <w:r w:rsidR="00E64D99">
        <w:t xml:space="preserve">- </w:t>
      </w:r>
      <w:r w:rsidR="00E26203">
        <w:t xml:space="preserve">wpisać </w:t>
      </w:r>
      <w:r w:rsidR="00E64D99">
        <w:t>kwotę dofinansowania dla Kosztów pośrednich,</w:t>
      </w:r>
      <w:r w:rsidR="005628A8">
        <w:br/>
      </w:r>
      <w:r w:rsidR="005D0A01" w:rsidRPr="004C1CF6">
        <w:t xml:space="preserve">- </w:t>
      </w:r>
      <w:r w:rsidR="00E64D99" w:rsidRPr="004C1CF6">
        <w:t>nie zaznaczać „Limitów”,</w:t>
      </w:r>
      <w:r w:rsidR="005628A8">
        <w:br/>
      </w:r>
      <w:r w:rsidR="00E64D99">
        <w:t>- wybrać Wnioskodawcę jako Realizatora.</w:t>
      </w:r>
      <w:r w:rsidR="005628A8"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628A8">
        <w:br/>
      </w:r>
      <w:r w:rsidR="005628A8">
        <w:rPr>
          <w:sz w:val="20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Informacje z tej Sekcji w powiązaniu z załącznikami do </w:t>
      </w:r>
      <w:r w:rsidR="00183C62" w:rsidRPr="0017537A">
        <w:rPr>
          <w:rFonts w:eastAsiaTheme="minorHAnsi" w:cs="Arial"/>
          <w:b/>
          <w:lang w:eastAsia="en-US"/>
        </w:rPr>
        <w:lastRenderedPageBreak/>
        <w:t>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020FBC68" w14:textId="2B40FB21" w:rsidR="0007140F" w:rsidRPr="00E176A5" w:rsidRDefault="004D26FE" w:rsidP="00E176A5">
      <w:pPr>
        <w:pStyle w:val="Nagwek2"/>
        <w:jc w:val="center"/>
      </w:pPr>
      <w:bookmarkStart w:id="36" w:name="_Toc129688638"/>
      <w:bookmarkStart w:id="37" w:name="_Toc130210487"/>
      <w:r w:rsidRPr="00CB116D">
        <w:t>Sekcja VI Podsumowanie budżet</w:t>
      </w:r>
      <w:bookmarkEnd w:id="36"/>
      <w:bookmarkEnd w:id="37"/>
      <w:r w:rsidR="00E176A5">
        <w:t>u</w:t>
      </w:r>
    </w:p>
    <w:p w14:paraId="2739D61E" w14:textId="1E56877A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  <w:r w:rsidR="005628A8">
        <w:br/>
      </w:r>
    </w:p>
    <w:p w14:paraId="501DCE36" w14:textId="4F6D8722" w:rsidR="007D40EF" w:rsidRPr="00310CD0" w:rsidRDefault="007D40EF" w:rsidP="00E176A5">
      <w:pPr>
        <w:pStyle w:val="Nagwek2"/>
        <w:jc w:val="center"/>
      </w:pPr>
      <w:bookmarkStart w:id="38" w:name="_Toc129688639"/>
      <w:bookmarkStart w:id="39" w:name="_Toc130210488"/>
      <w:r w:rsidRPr="00310CD0">
        <w:lastRenderedPageBreak/>
        <w:t>Sekcja VII Źródła finansowania</w:t>
      </w:r>
      <w:bookmarkEnd w:id="38"/>
      <w:bookmarkEnd w:id="39"/>
      <w:r w:rsidR="005628A8">
        <w:br/>
      </w:r>
    </w:p>
    <w:p w14:paraId="5B8D67B9" w14:textId="1C96A4EA" w:rsidR="00BB3656" w:rsidRPr="00BB3656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>wydatki całkowite i</w:t>
      </w:r>
      <w:r>
        <w:t xml:space="preserve"> wydatki kwalifikowane projektu:</w:t>
      </w:r>
    </w:p>
    <w:p w14:paraId="6936CE39" w14:textId="0147E642" w:rsidR="00BB3656" w:rsidRDefault="00BB3656" w:rsidP="00012362">
      <w:pPr>
        <w:pStyle w:val="Nagwek3"/>
      </w:pPr>
      <w:r>
        <w:t xml:space="preserve">Dofinansowanie </w:t>
      </w:r>
      <w:r w:rsidRPr="007C6415">
        <w:sym w:font="Symbol" w:char="F02D"/>
      </w:r>
      <w:r w:rsidRPr="00D07BAB">
        <w:t xml:space="preserve"> to kwota pochodząca z Europejskiego Funduszu Rozwoju Regionalnego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7D1D3743" w:rsidR="00BB3656" w:rsidRPr="00D07BAB" w:rsidRDefault="00BB3656" w:rsidP="005628A8"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C5118B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012362">
      <w:pPr>
        <w:pStyle w:val="Nagwek3"/>
      </w:pPr>
      <w:r w:rsidRPr="00BB3656">
        <w:lastRenderedPageBreak/>
        <w:t>Budżet państwa</w:t>
      </w:r>
      <w:r>
        <w:t xml:space="preserve"> </w:t>
      </w:r>
    </w:p>
    <w:p w14:paraId="1526F5F5" w14:textId="1F87B142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012362">
      <w:pPr>
        <w:pStyle w:val="Nagwek3"/>
      </w:pPr>
      <w:r w:rsidRPr="00BB3656">
        <w:t>Budżet jednostek samorządu terytorialnego</w:t>
      </w:r>
    </w:p>
    <w:p w14:paraId="61AD446C" w14:textId="4C7AF639" w:rsidR="00BB3656" w:rsidRDefault="00BB3656" w:rsidP="005628A8"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012362">
      <w:pPr>
        <w:pStyle w:val="Nagwek3"/>
      </w:pPr>
      <w:r w:rsidRPr="00BB3656">
        <w:t>Inne publiczne</w:t>
      </w:r>
    </w:p>
    <w:p w14:paraId="4A430C1D" w14:textId="2CBB2FBF" w:rsidR="00BB3656" w:rsidRPr="00BB3656" w:rsidRDefault="00BB3656" w:rsidP="005628A8"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012362">
      <w:pPr>
        <w:pStyle w:val="Nagwek3"/>
      </w:pPr>
      <w:r w:rsidRPr="00BB3656">
        <w:t>Prywatne</w:t>
      </w:r>
    </w:p>
    <w:p w14:paraId="0FB02E78" w14:textId="448978C2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</w:t>
      </w:r>
      <w:r w:rsidR="00BD73D5" w:rsidRPr="005D634D">
        <w:lastRenderedPageBreak/>
        <w:t>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7E51576E" w:rsidR="003D5618" w:rsidRDefault="00310CD0" w:rsidP="00012362">
      <w:pPr>
        <w:pStyle w:val="Nagwek2"/>
        <w:jc w:val="center"/>
      </w:pPr>
      <w:bookmarkStart w:id="40" w:name="_Toc129688640"/>
      <w:bookmarkStart w:id="41" w:name="_Toc130210489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40"/>
      <w:bookmarkEnd w:id="41"/>
    </w:p>
    <w:p w14:paraId="24C193E1" w14:textId="4DAC79C5" w:rsidR="003D5618" w:rsidRDefault="003D5618" w:rsidP="003F435E">
      <w:pPr>
        <w:pStyle w:val="Default"/>
        <w:spacing w:line="276" w:lineRule="auto"/>
        <w:jc w:val="both"/>
      </w:pPr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012362">
      <w:pPr>
        <w:pStyle w:val="Nagwek3"/>
      </w:pPr>
      <w:r w:rsidRPr="000E6C6B">
        <w:t>Doświadczenie</w:t>
      </w:r>
    </w:p>
    <w:p w14:paraId="79839AD5" w14:textId="2E29C5B1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 xml:space="preserve">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42" w:name="_Hlk129763886"/>
      <w:r w:rsidR="00BC1B97" w:rsidRPr="00441B8A">
        <w:rPr>
          <w:rFonts w:eastAsiaTheme="minorHAnsi"/>
          <w:b/>
          <w:bCs/>
        </w:rPr>
        <w:t>Informacje z tego pola będą podstawą do oceny kryte</w:t>
      </w:r>
      <w:r w:rsidR="00BC1B97" w:rsidRPr="00441B8A">
        <w:rPr>
          <w:rFonts w:eastAsiaTheme="minorHAnsi"/>
          <w:b/>
          <w:bCs/>
        </w:rPr>
        <w:lastRenderedPageBreak/>
        <w:t xml:space="preserve">rium </w:t>
      </w:r>
      <w:bookmarkEnd w:id="42"/>
      <w:r w:rsidR="00BC1B97" w:rsidRPr="00441B8A">
        <w:rPr>
          <w:rFonts w:eastAsiaTheme="minorHAnsi"/>
          <w:b/>
          <w:bCs/>
        </w:rPr>
        <w:t xml:space="preserve">merytorycznego standardowego </w:t>
      </w:r>
      <w:r w:rsidR="00BC1B97" w:rsidRPr="00C5118B">
        <w:rPr>
          <w:rFonts w:eastAsiaTheme="minorHAnsi"/>
          <w:b/>
          <w:bCs/>
          <w:i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012362">
      <w:pPr>
        <w:pStyle w:val="Nagwek3"/>
        <w:rPr>
          <w:rFonts w:eastAsiaTheme="minorHAnsi"/>
          <w:lang w:eastAsia="en-US"/>
        </w:rPr>
      </w:pPr>
      <w:r w:rsidRPr="00BC1B97">
        <w:rPr>
          <w:rFonts w:eastAsiaTheme="minorHAnsi"/>
          <w:lang w:eastAsia="en-US"/>
        </w:rPr>
        <w:t>Opis sposobu zarządzania projektem</w:t>
      </w:r>
    </w:p>
    <w:p w14:paraId="7452133B" w14:textId="5F9A90BC" w:rsidR="00BC1B97" w:rsidRPr="00441B8A" w:rsidRDefault="00BC1B97" w:rsidP="00441B8A">
      <w:pPr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>zgłoszeniem 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>procedurami przetargowymi 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 xml:space="preserve">opisać sposób wyboru podmiotu eksploatującego, określić formę prawną przekazania funkcji związanych </w:t>
      </w:r>
      <w:r w:rsidR="00B1083B" w:rsidRPr="00AE40F7">
        <w:rPr>
          <w:lang w:eastAsia="ko-KR"/>
        </w:rPr>
        <w:lastRenderedPageBreak/>
        <w:t>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3F435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012362">
      <w:pPr>
        <w:pStyle w:val="Nagwek3"/>
      </w:pPr>
      <w:r w:rsidRPr="00BC1B97">
        <w:t xml:space="preserve">Opis wkładu </w:t>
      </w:r>
      <w:r w:rsidR="00B44B59">
        <w:t>rzeczowego</w:t>
      </w:r>
    </w:p>
    <w:p w14:paraId="6600F706" w14:textId="5B5E7A31" w:rsidR="00184DC1" w:rsidRPr="00606B45" w:rsidRDefault="00BC1B97" w:rsidP="00441B8A">
      <w:pPr>
        <w:rPr>
          <w:rFonts w:cs="Arial"/>
          <w:sz w:val="20"/>
        </w:rPr>
      </w:pPr>
      <w:r w:rsidRPr="00BC1B97">
        <w:t xml:space="preserve">Zgodnie z zapisami </w:t>
      </w:r>
      <w:r w:rsidRPr="00BC1B97">
        <w:rPr>
          <w:i/>
        </w:rPr>
        <w:t>Katalogu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 w:rsidRPr="00F85855">
        <w:t>„wkład</w:t>
      </w:r>
      <w:r w:rsidRPr="00BC1B97">
        <w:t xml:space="preserve">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012362">
      <w:pPr>
        <w:pStyle w:val="Nagwek3"/>
      </w:pPr>
      <w:r w:rsidRPr="00606B45">
        <w:t>Op</w:t>
      </w:r>
      <w:r w:rsidR="00723D30">
        <w:t>is własnych środków finansowych</w:t>
      </w:r>
    </w:p>
    <w:p w14:paraId="6E5168B4" w14:textId="66F37928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lastRenderedPageBreak/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D83C85" w:rsidRPr="00931A0F">
        <w:rPr>
          <w:rStyle w:val="markedcontent"/>
          <w:rFonts w:cs="Arial"/>
        </w:rPr>
        <w:t>W zakresie innych podmiotów: patrz Instrukcja przygotowania załączników do wniosku o</w:t>
      </w:r>
      <w:r w:rsidR="00381768">
        <w:rPr>
          <w:rStyle w:val="markedcontent"/>
          <w:rFonts w:cs="Arial"/>
        </w:rPr>
        <w:t> </w:t>
      </w:r>
      <w:r w:rsidR="00D83C85" w:rsidRPr="00931A0F">
        <w:rPr>
          <w:rStyle w:val="markedcontent"/>
          <w:rFonts w:cs="Arial"/>
        </w:rPr>
        <w:t>dofinansowanie projektu (EFRR).</w:t>
      </w:r>
      <w:r w:rsidR="00441B8A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 xml:space="preserve">Wymóg przedłożenia ww. </w:t>
      </w:r>
      <w:r w:rsidR="00184A2D" w:rsidRPr="00B120AE">
        <w:rPr>
          <w:rStyle w:val="markedcontent"/>
          <w:rFonts w:cs="Arial"/>
        </w:rPr>
        <w:t xml:space="preserve">informacji </w:t>
      </w:r>
      <w:r w:rsidR="00114F79" w:rsidRPr="00B120AE">
        <w:rPr>
          <w:rStyle w:val="markedcontent"/>
          <w:rFonts w:cs="Arial"/>
        </w:rPr>
        <w:t>dotyczy także partnerów, którzy będą ponosić wydatki 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 w:rsidR="00441B8A"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C5118B">
        <w:rPr>
          <w:rFonts w:eastAsiaTheme="minorHAnsi"/>
          <w:b/>
          <w:bCs/>
          <w:i/>
        </w:rPr>
        <w:t>Kryterium wykonalności finansowej.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012362">
      <w:pPr>
        <w:pStyle w:val="Nagwek3"/>
      </w:pPr>
      <w:r w:rsidRPr="00D83C85">
        <w:lastRenderedPageBreak/>
        <w:t>Analiza ryzyka w projekcie</w:t>
      </w:r>
    </w:p>
    <w:p w14:paraId="4550805D" w14:textId="597E598D" w:rsidR="00606B45" w:rsidRDefault="00946A7F" w:rsidP="00441B8A">
      <w:r w:rsidRPr="00C845F8">
        <w:t>Należy zaznaczyć „Nie dotyczy”.</w:t>
      </w:r>
      <w:r w:rsidR="00441B8A">
        <w:br/>
      </w:r>
    </w:p>
    <w:p w14:paraId="59C3AF58" w14:textId="27E47E27" w:rsidR="005C36B3" w:rsidRDefault="00606B45" w:rsidP="00012362">
      <w:pPr>
        <w:pStyle w:val="Nagwek2"/>
        <w:jc w:val="center"/>
      </w:pPr>
      <w:bookmarkStart w:id="43" w:name="_Toc129688641"/>
      <w:bookmarkStart w:id="44" w:name="_Toc130210490"/>
      <w:r w:rsidRPr="00310CD0">
        <w:t xml:space="preserve">Sekcja </w:t>
      </w:r>
      <w:r>
        <w:t>IX Dodatkowe informacje</w:t>
      </w:r>
      <w:bookmarkEnd w:id="43"/>
      <w:bookmarkEnd w:id="44"/>
      <w:r w:rsidR="00441B8A">
        <w:br/>
      </w:r>
    </w:p>
    <w:p w14:paraId="66D556F2" w14:textId="64041827" w:rsidR="005C36B3" w:rsidRPr="00343BEB" w:rsidRDefault="005C36B3" w:rsidP="00441B8A">
      <w:pPr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 szczegółowo opisać w tym polu.</w:t>
      </w:r>
      <w:r w:rsidR="00441B8A">
        <w:br/>
      </w:r>
    </w:p>
    <w:p w14:paraId="09E25E96" w14:textId="63E3A44B" w:rsidR="00606B45" w:rsidRPr="00343BEB" w:rsidRDefault="0011256F" w:rsidP="00012362">
      <w:pPr>
        <w:pStyle w:val="Nagwek3"/>
      </w:pPr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</w:p>
    <w:p w14:paraId="11037163" w14:textId="0D6D74C8" w:rsidR="003D5618" w:rsidRPr="00343BEB" w:rsidRDefault="0011256F" w:rsidP="004309E0">
      <w:pPr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>
        <w:rPr>
          <w:lang w:eastAsia="ko-KR"/>
        </w:rPr>
        <w:t xml:space="preserve">- </w:t>
      </w:r>
      <w:r w:rsidR="0026219F">
        <w:rPr>
          <w:lang w:eastAsia="ko-KR"/>
        </w:rPr>
        <w:t>każdego P</w:t>
      </w:r>
      <w:r w:rsidR="00000662" w:rsidRPr="00BD459D">
        <w:rPr>
          <w:lang w:eastAsia="ko-KR"/>
        </w:rPr>
        <w:t>artnera projektu, w tym formę prawną, organ założycielski i zadania statutowe</w:t>
      </w:r>
      <w:r w:rsidR="00000662">
        <w:rPr>
          <w:lang w:eastAsia="ko-KR"/>
        </w:rPr>
        <w:t>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2D6A55">
        <w:t xml:space="preserve">obowiązków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lastRenderedPageBreak/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012362">
      <w:pPr>
        <w:pStyle w:val="Nagwek3"/>
      </w:pPr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</w:p>
    <w:p w14:paraId="69224E58" w14:textId="4AE1DF70" w:rsidR="009265DD" w:rsidRDefault="00EC3D10" w:rsidP="003A5ED4">
      <w:pPr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</w:t>
      </w:r>
      <w:r w:rsidR="00C5118B">
        <w:rPr>
          <w:rFonts w:eastAsiaTheme="minorHAnsi"/>
          <w:b/>
          <w:bCs/>
        </w:rPr>
        <w:t xml:space="preserve"> merytorycznego standardowego </w:t>
      </w:r>
      <w:r w:rsidR="00D96FE4" w:rsidRPr="00C5118B">
        <w:rPr>
          <w:b/>
          <w:bCs/>
          <w:i/>
        </w:rPr>
        <w:t>Projekt jest z</w:t>
      </w:r>
      <w:r w:rsidR="009265DD" w:rsidRPr="00C5118B">
        <w:rPr>
          <w:b/>
          <w:bCs/>
          <w:i/>
        </w:rPr>
        <w:t>godn</w:t>
      </w:r>
      <w:r w:rsidR="00D96FE4" w:rsidRPr="00C5118B">
        <w:rPr>
          <w:b/>
          <w:bCs/>
          <w:i/>
        </w:rPr>
        <w:t>y</w:t>
      </w:r>
      <w:r w:rsidR="009265DD" w:rsidRPr="00C5118B">
        <w:rPr>
          <w:b/>
          <w:bCs/>
          <w:i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442EA8F3" w:rsidR="009265DD" w:rsidRDefault="009265DD" w:rsidP="00012362">
      <w:pPr>
        <w:pStyle w:val="Nagwek3"/>
      </w:pPr>
      <w:r w:rsidRPr="00CC753E">
        <w:lastRenderedPageBreak/>
        <w:t>Zgodność projektu z Kartą Praw Podstawowych Unii Europejskiej (KPP) i Konwencją o Prawach Osób Niepełnosprawnych (KPON)</w:t>
      </w:r>
    </w:p>
    <w:p w14:paraId="77E2B7C2" w14:textId="7543B2A4" w:rsidR="00CD00BD" w:rsidRDefault="00A8560A" w:rsidP="003A5ED4">
      <w:pPr>
        <w:rPr>
          <w:rFonts w:cs="Arial"/>
          <w:b/>
          <w:color w:val="000000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- Wytyczne dotyczące zapewnienia poszanowania Karty praw podstawowych Unii Europejskiej przy wdrażaniu europejskich funduszy strukturalnych i inwestycyjnych (2016/C 269/01). Link: </w:t>
      </w:r>
      <w:r w:rsidR="003A5ED4">
        <w:rPr>
          <w:rStyle w:val="markedcontent"/>
          <w:rFonts w:cs="Arial"/>
        </w:rPr>
        <w:br/>
      </w:r>
      <w:hyperlink r:id="rId11" w:tgtFrame="_self" w:tooltip="Link do zewnętrznej strony otwiera się w tym samym oknie" w:history="1">
        <w:r w:rsidR="009925E9" w:rsidRPr="004218F3">
          <w:rPr>
            <w:rStyle w:val="Hipercze"/>
            <w:rFonts w:cs="Arial"/>
            <w:color w:val="auto"/>
          </w:rPr>
          <w:t>https://eur-lex.europa.eu/legal-content/PL/TXT/PDF/?uri=CELEX:52016XC0723(01)&amp;from=DA</w:t>
        </w:r>
      </w:hyperlink>
      <w:r w:rsidR="003A5ED4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9925E9" w:rsidRPr="004218F3">
        <w:t>Link do Wytycznych:</w:t>
      </w:r>
      <w:r w:rsidR="003A5ED4">
        <w:br/>
      </w:r>
      <w:hyperlink r:id="rId12" w:tgtFrame="_self" w:tooltip="Link do zewnętrznej strony otwiera się w tym samym oknie" w:history="1">
        <w:r w:rsidR="009925E9" w:rsidRPr="004218F3">
          <w:rPr>
            <w:rStyle w:val="Hipercze"/>
            <w:rFonts w:cs="Arial"/>
            <w:color w:val="auto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="003A5ED4">
        <w:rPr>
          <w:rStyle w:val="Hipercze"/>
          <w:rFonts w:cs="Arial"/>
          <w:color w:val="auto"/>
        </w:rPr>
        <w:br/>
      </w:r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w </w:t>
      </w:r>
      <w:r w:rsidR="00CC753E" w:rsidRPr="00CC753E">
        <w:lastRenderedPageBreak/>
        <w:t>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 w:rsidR="003A5ED4"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012362">
      <w:pPr>
        <w:pStyle w:val="Nagwek3"/>
      </w:pPr>
      <w:r>
        <w:t>S</w:t>
      </w:r>
      <w:r w:rsidR="0074539F" w:rsidRPr="00752C27">
        <w:t>pójność ze strategiami</w:t>
      </w:r>
    </w:p>
    <w:p w14:paraId="58462EFA" w14:textId="2836ED85" w:rsidR="00257A40" w:rsidRPr="00752C27" w:rsidRDefault="00F12D2A" w:rsidP="001F6B3D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>- spójność projektu z odpowiednimi strategiami leżącymi u podstaw programu FEP 2021-2027 (dokumenty te wymieniono w rozdziale 1 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</w:t>
      </w:r>
      <w:r w:rsidR="00C5118B">
        <w:rPr>
          <w:rFonts w:eastAsiaTheme="minorHAnsi"/>
        </w:rPr>
        <w:t xml:space="preserve">lów </w:t>
      </w:r>
      <w:r w:rsidR="00C5118B">
        <w:rPr>
          <w:rFonts w:eastAsiaTheme="minorHAnsi"/>
        </w:rPr>
        <w:lastRenderedPageBreak/>
        <w:t>szczegółowych FEP 2021-2027.</w:t>
      </w:r>
      <w:r w:rsidR="003A5ED4">
        <w:rPr>
          <w:rFonts w:eastAsiaTheme="minorHAnsi" w:cs="Arial"/>
        </w:rPr>
        <w:br/>
      </w:r>
      <w:bookmarkStart w:id="45" w:name="_Hlk129765648"/>
      <w:r w:rsidRPr="003A5ED4">
        <w:rPr>
          <w:rFonts w:eastAsiaTheme="minorHAnsi"/>
          <w:b/>
          <w:bCs/>
        </w:rPr>
        <w:t xml:space="preserve">Przedstawione informacje, w powiązaniu z zapisami w polu Opis projektu (Sekcja I), będą podstawą do oceny kryterium merytorycznego standardowego </w:t>
      </w:r>
      <w:r w:rsidRPr="009933E3">
        <w:rPr>
          <w:b/>
          <w:bCs/>
          <w:i/>
        </w:rPr>
        <w:t>Logika projektu i spójność ze strategiami</w:t>
      </w:r>
      <w:bookmarkEnd w:id="45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Default="00752C27" w:rsidP="00012362">
      <w:pPr>
        <w:pStyle w:val="Nagwek3"/>
      </w:pPr>
      <w:r w:rsidRPr="00752C27">
        <w:t>Zgodność z przepisami o pomocy państwa</w:t>
      </w:r>
    </w:p>
    <w:p w14:paraId="48ED4D34" w14:textId="3E96AA72" w:rsidR="00B25C1F" w:rsidRPr="00B25C1F" w:rsidRDefault="00B25C1F" w:rsidP="00B25C1F">
      <w:r>
        <w:t>Zgodnie z Regulaminem wyboru projektów d</w:t>
      </w:r>
      <w:r w:rsidRPr="00B25C1F">
        <w:t>ofinansowanie w ramach niniejszego naboru może zostać udzielone jako dofinansowanie, które nie stanowi pomocy publicznej.</w:t>
      </w:r>
    </w:p>
    <w:p w14:paraId="469C29DC" w14:textId="0E01832D" w:rsidR="000010B5" w:rsidRPr="00931A0F" w:rsidRDefault="00752C27" w:rsidP="003A5ED4">
      <w:pPr>
        <w:rPr>
          <w:rFonts w:eastAsiaTheme="minorHAnsi" w:cs="Arial"/>
          <w:bCs/>
          <w:lang w:eastAsia="en-US"/>
        </w:rPr>
      </w:pPr>
      <w:r w:rsidRPr="00752C27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polu należy opisać </w:t>
      </w:r>
      <w:r w:rsidR="00B25C1F">
        <w:rPr>
          <w:rFonts w:eastAsiaTheme="minorHAnsi"/>
          <w:lang w:eastAsia="en-US"/>
        </w:rPr>
        <w:t xml:space="preserve">i uzasadnić, że projekt nie podlega pomocy państwa </w:t>
      </w:r>
      <w:r w:rsidRPr="00752C27">
        <w:rPr>
          <w:rFonts w:eastAsiaTheme="minorHAnsi"/>
          <w:lang w:eastAsia="en-US"/>
        </w:rPr>
        <w:t xml:space="preserve">w oparciu o przepisy dotyczące pomocy </w:t>
      </w:r>
      <w:r w:rsidR="006C71B0">
        <w:rPr>
          <w:rFonts w:eastAsiaTheme="minorHAnsi"/>
          <w:lang w:eastAsia="en-US"/>
        </w:rPr>
        <w:t>p</w:t>
      </w:r>
      <w:r w:rsidR="00B25C1F">
        <w:rPr>
          <w:rFonts w:eastAsiaTheme="minorHAnsi"/>
          <w:lang w:eastAsia="en-US"/>
        </w:rPr>
        <w:t xml:space="preserve">ublicznej lub pomocy de </w:t>
      </w:r>
      <w:proofErr w:type="spellStart"/>
      <w:r w:rsidR="00B25C1F">
        <w:rPr>
          <w:rFonts w:eastAsiaTheme="minorHAnsi"/>
          <w:lang w:eastAsia="en-US"/>
        </w:rPr>
        <w:t>minimis</w:t>
      </w:r>
      <w:proofErr w:type="spellEnd"/>
      <w:r w:rsidR="00B25C1F">
        <w:rPr>
          <w:rFonts w:eastAsiaTheme="minorHAnsi"/>
          <w:lang w:eastAsia="en-US"/>
        </w:rPr>
        <w:t>.</w:t>
      </w:r>
      <w:r w:rsidR="003A5ED4">
        <w:rPr>
          <w:rFonts w:eastAsiaTheme="minorHAnsi"/>
          <w:u w:val="single"/>
          <w:lang w:eastAsia="en-US"/>
        </w:rPr>
        <w:br/>
      </w:r>
      <w:r w:rsidR="00337213" w:rsidRPr="00C845F8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C845F8">
        <w:rPr>
          <w:rFonts w:eastAsiaTheme="minorHAnsi"/>
          <w:lang w:eastAsia="en-US"/>
        </w:rPr>
        <w:t xml:space="preserve"> przeanalizować i</w:t>
      </w:r>
      <w:r w:rsidR="00F85855">
        <w:rPr>
          <w:rFonts w:eastAsiaTheme="minorHAnsi"/>
          <w:lang w:eastAsia="en-US"/>
        </w:rPr>
        <w:t xml:space="preserve"> uzasadnić brak pomocy uwzględniając wszystkie przesłanki zawarte w teście pomocy publicznej.</w:t>
      </w:r>
      <w:r w:rsidR="003A5ED4" w:rsidRPr="00C845F8">
        <w:rPr>
          <w:rFonts w:eastAsiaTheme="minorHAnsi"/>
          <w:lang w:eastAsia="en-US"/>
        </w:rPr>
        <w:br/>
      </w:r>
      <w:r w:rsidR="00337213" w:rsidRPr="00C845F8">
        <w:rPr>
          <w:rFonts w:eastAsiaTheme="minorHAnsi"/>
          <w:lang w:eastAsia="en-US"/>
        </w:rPr>
        <w:t>W tym zakresie zastosowanie mogą mieć:</w:t>
      </w:r>
      <w:r w:rsidR="006C71B0" w:rsidRPr="00C845F8">
        <w:rPr>
          <w:rFonts w:eastAsiaTheme="minorHAnsi"/>
          <w:lang w:eastAsia="en-US"/>
        </w:rPr>
        <w:t xml:space="preserve"> m.in.</w:t>
      </w:r>
      <w:r w:rsidR="00337213" w:rsidRPr="00C845F8">
        <w:rPr>
          <w:rFonts w:eastAsiaTheme="minorHAnsi"/>
          <w:lang w:eastAsia="en-US"/>
        </w:rPr>
        <w:t xml:space="preserve"> rozporządzenie Komisji (UE) 651/2014, </w:t>
      </w:r>
      <w:r w:rsidR="005B51C0">
        <w:rPr>
          <w:rFonts w:eastAsiaTheme="minorHAnsi"/>
          <w:lang w:eastAsia="en-US"/>
        </w:rPr>
        <w:t xml:space="preserve">Komunikat KE </w:t>
      </w:r>
      <w:r w:rsidR="00337213" w:rsidRPr="00C845F8">
        <w:rPr>
          <w:rFonts w:eastAsiaTheme="minorHAnsi"/>
          <w:lang w:eastAsia="en-US"/>
        </w:rPr>
        <w:t xml:space="preserve">w sprawie pojęcia pomocy państwa w rozumieniu art. 107 ust. 1 Traktatu o funkcjonowaniu Unii Europejskiej, branżowe wytyczne i decyzje </w:t>
      </w:r>
      <w:r w:rsidR="00337213" w:rsidRPr="00C845F8">
        <w:rPr>
          <w:rFonts w:eastAsiaTheme="minorHAnsi"/>
          <w:lang w:eastAsia="en-US"/>
        </w:rPr>
        <w:lastRenderedPageBreak/>
        <w:t>Komisji Europejskiej (np. Wytyczne w sprawie pomocy państwa na rzecz klimatu, ochrony środowiska i energii), orzeczenia ETS, wyjaśnienia UOKIK</w:t>
      </w:r>
      <w:r w:rsidR="006C71B0" w:rsidRPr="00C845F8">
        <w:rPr>
          <w:rFonts w:eastAsiaTheme="minorHAnsi"/>
          <w:lang w:eastAsia="en-US"/>
        </w:rPr>
        <w:t xml:space="preserve"> itp.</w:t>
      </w:r>
      <w:r w:rsidR="003A5ED4">
        <w:rPr>
          <w:rFonts w:eastAsiaTheme="minorHAnsi"/>
          <w:lang w:eastAsia="en-US"/>
        </w:rPr>
        <w:br/>
      </w:r>
      <w:r w:rsidR="000045B8" w:rsidRPr="003A5ED4">
        <w:rPr>
          <w:rFonts w:eastAsiaTheme="minorHAnsi"/>
        </w:rPr>
        <w:t xml:space="preserve">Jeżeli, ze względu na limit znaków, nie będzie możliwe szczegółowe opisanie w tym punkcie kwestii pomocy publicznej, wówczas w tej części należy podać tylko informację, że </w:t>
      </w:r>
      <w:r w:rsidR="00153AD7" w:rsidRPr="003A5ED4">
        <w:rPr>
          <w:rFonts w:eastAsiaTheme="minorHAnsi"/>
        </w:rPr>
        <w:t>z</w:t>
      </w:r>
      <w:r w:rsidR="000045B8" w:rsidRPr="003A5ED4">
        <w:rPr>
          <w:rFonts w:eastAsiaTheme="minorHAnsi"/>
        </w:rPr>
        <w:t>godność z przepisami o</w:t>
      </w:r>
      <w:r w:rsidR="00C32B7A" w:rsidRPr="003A5ED4">
        <w:rPr>
          <w:rFonts w:eastAsiaTheme="minorHAnsi"/>
        </w:rPr>
        <w:t> </w:t>
      </w:r>
      <w:r w:rsidR="000045B8" w:rsidRPr="003A5ED4">
        <w:rPr>
          <w:rFonts w:eastAsiaTheme="minorHAnsi"/>
        </w:rPr>
        <w:t xml:space="preserve">pomocy państwa została przedstawiona w ramach załącznika nr </w:t>
      </w:r>
      <w:r w:rsidR="00F85855">
        <w:rPr>
          <w:rFonts w:eastAsiaTheme="minorHAnsi"/>
          <w:b/>
        </w:rPr>
        <w:t>10</w:t>
      </w:r>
      <w:r w:rsidR="008B75B9" w:rsidRPr="003A5ED4">
        <w:rPr>
          <w:rFonts w:eastAsiaTheme="minorHAnsi"/>
          <w:b/>
        </w:rPr>
        <w:t xml:space="preserve"> do </w:t>
      </w:r>
      <w:r w:rsidR="00120D1B">
        <w:rPr>
          <w:rFonts w:eastAsiaTheme="minorHAnsi"/>
          <w:b/>
        </w:rPr>
        <w:t xml:space="preserve">wniosku o dofinansowanie (wzór stanowi załącznik nr 10 do </w:t>
      </w:r>
      <w:r w:rsidR="008B75B9" w:rsidRPr="003A5ED4">
        <w:rPr>
          <w:rFonts w:eastAsiaTheme="minorHAnsi"/>
          <w:b/>
        </w:rPr>
        <w:t xml:space="preserve">Instrukcji przygotowania załączników do wniosku o dofinansowanie projektu (EFRR) </w:t>
      </w:r>
      <w:r w:rsidR="000045B8" w:rsidRPr="003A5ED4">
        <w:rPr>
          <w:rFonts w:eastAsiaTheme="minorHAnsi"/>
          <w:b/>
        </w:rPr>
        <w:t>– Test pomocy publicznej</w:t>
      </w:r>
      <w:r w:rsidR="00120D1B">
        <w:rPr>
          <w:rFonts w:eastAsiaTheme="minorHAnsi"/>
          <w:b/>
        </w:rPr>
        <w:t>)</w:t>
      </w:r>
      <w:r w:rsidR="000045B8" w:rsidRPr="003A5ED4">
        <w:rPr>
          <w:rFonts w:eastAsiaTheme="minorHAnsi"/>
          <w:b/>
        </w:rPr>
        <w:t>.</w:t>
      </w:r>
      <w:r w:rsidR="003A5ED4">
        <w:rPr>
          <w:rFonts w:eastAsiaTheme="minorHAnsi"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</w:t>
      </w:r>
      <w:r w:rsidR="009933E3">
        <w:rPr>
          <w:rFonts w:eastAsiaTheme="minorHAnsi"/>
          <w:b/>
          <w:bCs/>
        </w:rPr>
        <w:t xml:space="preserve">m merytorycznego standardowego </w:t>
      </w:r>
      <w:r w:rsidR="000010B5" w:rsidRPr="009933E3">
        <w:rPr>
          <w:b/>
          <w:bCs/>
          <w:i/>
        </w:rPr>
        <w:t>Zgodność z przepisami o pomocy państwa</w:t>
      </w:r>
      <w:r w:rsidR="000010B5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11B8376E" w14:textId="3CA6BA77" w:rsidR="00BB0C01" w:rsidRDefault="00BB0C01" w:rsidP="00012362">
      <w:pPr>
        <w:pStyle w:val="Nagwek3"/>
      </w:pPr>
      <w:r w:rsidRPr="00931A0F">
        <w:t>Stabilność finansowania podczas eksploatacji</w:t>
      </w:r>
    </w:p>
    <w:p w14:paraId="5BC38932" w14:textId="5E36D303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i mechanizmy finansowe, aby po</w:t>
      </w:r>
      <w:r w:rsidRPr="00D26E83">
        <w:rPr>
          <w:rFonts w:eastAsiaTheme="minorHAnsi"/>
          <w:lang w:eastAsia="en-US"/>
        </w:rPr>
        <w:lastRenderedPageBreak/>
        <w:t xml:space="preserve">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lastRenderedPageBreak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2"/>
      </w:r>
      <w:r w:rsidRPr="00D26E83">
        <w:rPr>
          <w:rFonts w:eastAsiaTheme="minorHAnsi"/>
          <w:lang w:eastAsia="en-US"/>
        </w:rPr>
        <w:t xml:space="preserve"> 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oceny kryterium merytorycznego standardowego </w:t>
      </w:r>
      <w:r w:rsidR="000E11B9" w:rsidRPr="009933E3">
        <w:rPr>
          <w:b/>
          <w:bCs/>
          <w:i/>
        </w:rPr>
        <w:t>Stabilność finansowania podczas eksploatacji</w:t>
      </w:r>
      <w:r w:rsidR="000E11B9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012362">
      <w:pPr>
        <w:pStyle w:val="Nagwek3"/>
        <w:rPr>
          <w:rFonts w:eastAsiaTheme="minorHAnsi"/>
          <w:lang w:eastAsia="en-US"/>
        </w:rPr>
      </w:pPr>
      <w:r w:rsidRPr="00BF7842">
        <w:rPr>
          <w:rFonts w:eastAsiaTheme="minorHAnsi"/>
          <w:lang w:eastAsia="en-US"/>
        </w:rPr>
        <w:t>Odporność na zmiany klimatu</w:t>
      </w:r>
    </w:p>
    <w:p w14:paraId="0A9BC88F" w14:textId="7FAA2BC6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 xml:space="preserve">5 lat, w polu należy opisać, czy przyjęte rozwiązania techniczne i technologiczne uwzględniają potrzeby zapewnienia trwałości i odporności na zmiany klimatu (np. ekstremalne temperatury, burze, powodzie, osunięcia ziemi itp.) poprzez </w:t>
      </w:r>
      <w:r w:rsidRPr="00BF7842">
        <w:rPr>
          <w:rFonts w:eastAsiaTheme="minorHAnsi"/>
          <w:lang w:eastAsia="en-US"/>
        </w:rPr>
        <w:lastRenderedPageBreak/>
        <w:t>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</w:t>
      </w:r>
      <w:r w:rsidR="009933E3">
        <w:rPr>
          <w:rFonts w:eastAsiaTheme="minorHAnsi"/>
          <w:b/>
          <w:bCs/>
        </w:rPr>
        <w:t xml:space="preserve">go standardowego </w:t>
      </w:r>
      <w:r w:rsidR="00692836" w:rsidRPr="009933E3">
        <w:rPr>
          <w:rFonts w:eastAsiaTheme="minorHAnsi"/>
          <w:b/>
          <w:bCs/>
          <w:i/>
        </w:rPr>
        <w:t>Odporność na zmiany klimatu</w:t>
      </w:r>
      <w:r w:rsidR="00692836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012362">
      <w:pPr>
        <w:pStyle w:val="Nagwek3"/>
        <w:rPr>
          <w:i/>
        </w:rPr>
      </w:pPr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</w:p>
    <w:p w14:paraId="1A780DCD" w14:textId="17C4EA83" w:rsidR="005D309D" w:rsidRDefault="00BF7842" w:rsidP="003A5ED4">
      <w:pPr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 xml:space="preserve">(patrz również pkt 11 do Instrukcji przygotowania załączników do wniosku o dofinansowanie projektu </w:t>
      </w:r>
      <w:r w:rsidR="005D309D" w:rsidRPr="001F6B3D">
        <w:lastRenderedPageBreak/>
        <w:t>(EFRR).</w:t>
      </w:r>
      <w:r w:rsidR="003A5ED4">
        <w:br/>
      </w:r>
    </w:p>
    <w:p w14:paraId="41376A90" w14:textId="045C4ECF" w:rsidR="00B3200A" w:rsidRPr="00D47FDC" w:rsidRDefault="00B3200A" w:rsidP="00012362">
      <w:pPr>
        <w:pStyle w:val="Nagwek2"/>
        <w:jc w:val="center"/>
        <w:rPr>
          <w:rFonts w:eastAsiaTheme="minorHAnsi" w:cs="Arial"/>
          <w:sz w:val="20"/>
          <w:lang w:eastAsia="en-US"/>
        </w:rPr>
      </w:pPr>
      <w:bookmarkStart w:id="46" w:name="_Toc129688642"/>
      <w:bookmarkStart w:id="47" w:name="_Toc130210491"/>
      <w:r w:rsidRPr="00310CD0">
        <w:t xml:space="preserve">Sekcja </w:t>
      </w:r>
      <w:r>
        <w:t>X Oświadczenia</w:t>
      </w:r>
      <w:bookmarkEnd w:id="46"/>
      <w:bookmarkEnd w:id="47"/>
      <w:r w:rsidR="003A5ED4">
        <w:br/>
      </w:r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6E0ECA6" w:rsidR="00050E92" w:rsidRPr="00EF0407" w:rsidRDefault="00B3200A" w:rsidP="00012362">
      <w:pPr>
        <w:pStyle w:val="Nagwek2"/>
        <w:jc w:val="center"/>
        <w:rPr>
          <w:rFonts w:cs="Arial"/>
        </w:rPr>
      </w:pPr>
      <w:bookmarkStart w:id="48" w:name="_Toc129688643"/>
      <w:bookmarkStart w:id="49" w:name="_Toc130210492"/>
      <w:r w:rsidRPr="00310CD0">
        <w:t xml:space="preserve">Sekcja </w:t>
      </w:r>
      <w:r>
        <w:t>XI Załączniki</w:t>
      </w:r>
      <w:bookmarkEnd w:id="48"/>
      <w:bookmarkEnd w:id="49"/>
      <w:r w:rsidR="003A5ED4">
        <w:br/>
      </w:r>
    </w:p>
    <w:p w14:paraId="741C27AA" w14:textId="5D82A5A6" w:rsidR="00536174" w:rsidRDefault="00050E92" w:rsidP="003A5ED4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>we wzorze wniosku o 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50" w:name="_Toc483552416"/>
      <w:r w:rsidR="006917AF" w:rsidRPr="006917AF">
        <w:rPr>
          <w:i/>
        </w:rPr>
        <w:t>„Inne załączone dokumenty, w szczególności wymagane przepisami prawa lub postanowieniami regulaminu danego</w:t>
      </w:r>
      <w:bookmarkEnd w:id="50"/>
      <w:r w:rsidR="006917AF" w:rsidRPr="006917AF">
        <w:rPr>
          <w:i/>
        </w:rPr>
        <w:t xml:space="preserve"> naboru”.</w:t>
      </w:r>
      <w:r w:rsidR="003A5ED4">
        <w:rPr>
          <w:i/>
        </w:rPr>
        <w:br/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>Instrukcja przygotowania załączników do wniosku o dofinansowanie projektu (EFRR).</w:t>
      </w:r>
      <w:r w:rsidR="003A5ED4">
        <w:rPr>
          <w:i/>
        </w:rPr>
        <w:br/>
      </w:r>
      <w:r w:rsidR="003A5ED4">
        <w:rPr>
          <w:i/>
        </w:rPr>
        <w:lastRenderedPageBreak/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sectPr w:rsidR="00536174" w:rsidSect="00942839"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A590" w14:textId="77777777" w:rsidR="00F810D4" w:rsidRDefault="00F810D4" w:rsidP="008667E6">
      <w:r>
        <w:separator/>
      </w:r>
    </w:p>
  </w:endnote>
  <w:endnote w:type="continuationSeparator" w:id="0">
    <w:p w14:paraId="3D3243B7" w14:textId="77777777" w:rsidR="00F810D4" w:rsidRDefault="00F810D4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E3D66FF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62">
          <w:rPr>
            <w:noProof/>
          </w:rPr>
          <w:t>22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012362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7C21A" w14:textId="77777777" w:rsidR="00F810D4" w:rsidRDefault="00F810D4" w:rsidP="008667E6">
      <w:r>
        <w:separator/>
      </w:r>
    </w:p>
  </w:footnote>
  <w:footnote w:type="continuationSeparator" w:id="0">
    <w:p w14:paraId="40BF4AA6" w14:textId="77777777" w:rsidR="00F810D4" w:rsidRDefault="00F810D4" w:rsidP="008667E6">
      <w:r>
        <w:continuationSeparator/>
      </w:r>
    </w:p>
  </w:footnote>
  <w:footnote w:id="1">
    <w:p w14:paraId="2B10561A" w14:textId="5F25E73F" w:rsidR="003F561E" w:rsidRPr="00ED236A" w:rsidRDefault="003F561E" w:rsidP="00C15CAB">
      <w:pPr>
        <w:pStyle w:val="Tekstprzypisudolnego"/>
        <w:rPr>
          <w:rStyle w:val="Hipercze"/>
          <w:rFonts w:ascii="Arial" w:hAnsi="Arial" w:cs="Arial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="00E065E8" w:rsidRPr="00ED236A">
        <w:rPr>
          <w:rFonts w:ascii="Arial" w:hAnsi="Arial" w:cs="Arial"/>
        </w:rPr>
        <w:t xml:space="preserve">Do przeliczenia limitu zastosowanie ma </w:t>
      </w:r>
      <w:r w:rsidRPr="00ED236A">
        <w:rPr>
          <w:rFonts w:ascii="Arial" w:hAnsi="Arial" w:cs="Arial"/>
        </w:rPr>
        <w:t xml:space="preserve">miesięczny obrachunkowy </w:t>
      </w:r>
      <w:r w:rsidRPr="00ED236A">
        <w:rPr>
          <w:rStyle w:val="highlight"/>
          <w:rFonts w:ascii="Arial" w:hAnsi="Arial" w:cs="Arial"/>
        </w:rPr>
        <w:t>kurs</w:t>
      </w:r>
      <w:r w:rsidRPr="00ED236A">
        <w:rPr>
          <w:rFonts w:ascii="Arial" w:hAnsi="Arial" w:cs="Arial"/>
        </w:rPr>
        <w:t xml:space="preserve"> wymiany waluty stosowany przez KE, aktualny na dzień ogłoszenia naboru, </w:t>
      </w:r>
      <w:hyperlink r:id="rId1" w:tgtFrame="_self" w:tooltip="Link do zewnętrznej strony otwiera się w tym samym oknie" w:history="1">
        <w:r w:rsidRPr="00ED236A">
          <w:rPr>
            <w:rStyle w:val="Hipercze"/>
            <w:rFonts w:ascii="Arial" w:hAnsi="Arial" w:cs="Arial"/>
          </w:rPr>
          <w:t>https://commission.europa.eu/funding-tenders/procedures-guidelines-tenders/information-contractors-and-beneficiaries/exchange-rate-inforeuro_en</w:t>
        </w:r>
      </w:hyperlink>
    </w:p>
    <w:p w14:paraId="24CE322E" w14:textId="37FA4EDD" w:rsidR="003F561E" w:rsidRPr="00ED236A" w:rsidRDefault="00AB230A">
      <w:pPr>
        <w:pStyle w:val="Tekstprzypisudolnego"/>
        <w:rPr>
          <w:rFonts w:ascii="Arial" w:hAnsi="Arial" w:cs="Arial"/>
        </w:rPr>
      </w:pPr>
      <w:r w:rsidRPr="00F2386E">
        <w:rPr>
          <w:rFonts w:ascii="Arial" w:hAnsi="Arial" w:cs="Arial"/>
          <w:b/>
          <w:bCs/>
        </w:rPr>
        <w:t>(</w:t>
      </w:r>
      <w:r w:rsidR="00896AE1" w:rsidRPr="00F2386E">
        <w:rPr>
          <w:rFonts w:ascii="Arial" w:hAnsi="Arial" w:cs="Arial"/>
          <w:b/>
          <w:bCs/>
        </w:rPr>
        <w:t>1 EURO = 4,6813</w:t>
      </w:r>
      <w:r w:rsidR="00D67AF3" w:rsidRPr="00F2386E">
        <w:rPr>
          <w:rFonts w:ascii="Arial" w:hAnsi="Arial" w:cs="Arial"/>
          <w:b/>
          <w:bCs/>
        </w:rPr>
        <w:t xml:space="preserve"> PLN</w:t>
      </w:r>
      <w:r w:rsidRPr="00F2386E">
        <w:rPr>
          <w:rFonts w:ascii="Arial" w:hAnsi="Arial" w:cs="Arial"/>
          <w:b/>
          <w:bCs/>
        </w:rPr>
        <w:t>)</w:t>
      </w:r>
    </w:p>
  </w:footnote>
  <w:footnote w:id="2">
    <w:p w14:paraId="4AEDEC1D" w14:textId="0992F2A7" w:rsidR="003F561E" w:rsidRPr="00ED236A" w:rsidRDefault="003F561E">
      <w:pPr>
        <w:pStyle w:val="Tekstprzypisudolnego"/>
        <w:rPr>
          <w:rFonts w:ascii="Arial" w:hAnsi="Arial" w:cs="Arial"/>
          <w:sz w:val="16"/>
          <w:szCs w:val="16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Pr="00ED236A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(…)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05000B0A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20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0"/>
  </w:num>
  <w:num w:numId="15">
    <w:abstractNumId w:val="11"/>
  </w:num>
  <w:num w:numId="16">
    <w:abstractNumId w:val="22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2362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4470"/>
    <w:rsid w:val="00094EE8"/>
    <w:rsid w:val="000959FE"/>
    <w:rsid w:val="00095AB3"/>
    <w:rsid w:val="0009795D"/>
    <w:rsid w:val="000A1508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53F5"/>
    <w:rsid w:val="000D7177"/>
    <w:rsid w:val="000E10FA"/>
    <w:rsid w:val="000E11B9"/>
    <w:rsid w:val="000E1366"/>
    <w:rsid w:val="000E33F2"/>
    <w:rsid w:val="000E46B8"/>
    <w:rsid w:val="000E4DCE"/>
    <w:rsid w:val="000E53AA"/>
    <w:rsid w:val="000E6C6B"/>
    <w:rsid w:val="000F19B3"/>
    <w:rsid w:val="000F32D7"/>
    <w:rsid w:val="000F4382"/>
    <w:rsid w:val="000F48A8"/>
    <w:rsid w:val="000F4B4B"/>
    <w:rsid w:val="001002CE"/>
    <w:rsid w:val="00100A5F"/>
    <w:rsid w:val="001021F7"/>
    <w:rsid w:val="001027FC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0D1B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59FC"/>
    <w:rsid w:val="00265A7D"/>
    <w:rsid w:val="0026769B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2F6563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6E06"/>
    <w:rsid w:val="00317089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3D42"/>
    <w:rsid w:val="00395E03"/>
    <w:rsid w:val="003960E8"/>
    <w:rsid w:val="003A04D2"/>
    <w:rsid w:val="003A3F54"/>
    <w:rsid w:val="003A5ED4"/>
    <w:rsid w:val="003A62A6"/>
    <w:rsid w:val="003B0AD5"/>
    <w:rsid w:val="003B10AE"/>
    <w:rsid w:val="003B2839"/>
    <w:rsid w:val="003B46F9"/>
    <w:rsid w:val="003B6392"/>
    <w:rsid w:val="003B6455"/>
    <w:rsid w:val="003B7EF9"/>
    <w:rsid w:val="003C04DC"/>
    <w:rsid w:val="003C2FE3"/>
    <w:rsid w:val="003C33E3"/>
    <w:rsid w:val="003C37BD"/>
    <w:rsid w:val="003C55BC"/>
    <w:rsid w:val="003C69F5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485B"/>
    <w:rsid w:val="00477F0D"/>
    <w:rsid w:val="0048078C"/>
    <w:rsid w:val="00485213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271F"/>
    <w:rsid w:val="00530922"/>
    <w:rsid w:val="00533D00"/>
    <w:rsid w:val="0053559B"/>
    <w:rsid w:val="00535997"/>
    <w:rsid w:val="00535FA7"/>
    <w:rsid w:val="00536174"/>
    <w:rsid w:val="00536834"/>
    <w:rsid w:val="00537656"/>
    <w:rsid w:val="0054025A"/>
    <w:rsid w:val="005453A2"/>
    <w:rsid w:val="00545B7A"/>
    <w:rsid w:val="00554F0C"/>
    <w:rsid w:val="0055755D"/>
    <w:rsid w:val="00560FF4"/>
    <w:rsid w:val="00562594"/>
    <w:rsid w:val="005628A8"/>
    <w:rsid w:val="00564EC6"/>
    <w:rsid w:val="0057161B"/>
    <w:rsid w:val="00572553"/>
    <w:rsid w:val="00576095"/>
    <w:rsid w:val="00576137"/>
    <w:rsid w:val="00577BF1"/>
    <w:rsid w:val="00582372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B51C0"/>
    <w:rsid w:val="005C124F"/>
    <w:rsid w:val="005C22C0"/>
    <w:rsid w:val="005C36B3"/>
    <w:rsid w:val="005C469D"/>
    <w:rsid w:val="005C532D"/>
    <w:rsid w:val="005D0A01"/>
    <w:rsid w:val="005D309D"/>
    <w:rsid w:val="005D3A43"/>
    <w:rsid w:val="005D634D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68CF"/>
    <w:rsid w:val="00657E32"/>
    <w:rsid w:val="0066044A"/>
    <w:rsid w:val="00662438"/>
    <w:rsid w:val="0066465E"/>
    <w:rsid w:val="00664D8D"/>
    <w:rsid w:val="00671291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25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248B"/>
    <w:rsid w:val="006A34B6"/>
    <w:rsid w:val="006A41D9"/>
    <w:rsid w:val="006A6A57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D9"/>
    <w:rsid w:val="00703603"/>
    <w:rsid w:val="0070560A"/>
    <w:rsid w:val="00705E8F"/>
    <w:rsid w:val="00707DA0"/>
    <w:rsid w:val="007130F8"/>
    <w:rsid w:val="00713525"/>
    <w:rsid w:val="00715155"/>
    <w:rsid w:val="00715C4C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21AE6"/>
    <w:rsid w:val="00822353"/>
    <w:rsid w:val="00822F68"/>
    <w:rsid w:val="0082501B"/>
    <w:rsid w:val="00830DF2"/>
    <w:rsid w:val="008315D8"/>
    <w:rsid w:val="00834267"/>
    <w:rsid w:val="00834700"/>
    <w:rsid w:val="0083522C"/>
    <w:rsid w:val="00836E89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6AE1"/>
    <w:rsid w:val="008975D3"/>
    <w:rsid w:val="008A0FE4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1E75"/>
    <w:rsid w:val="008D21C6"/>
    <w:rsid w:val="008D2E3E"/>
    <w:rsid w:val="008D58DA"/>
    <w:rsid w:val="008D73AD"/>
    <w:rsid w:val="008D7E27"/>
    <w:rsid w:val="008E38C7"/>
    <w:rsid w:val="008E52DE"/>
    <w:rsid w:val="008E7E4E"/>
    <w:rsid w:val="008F19BA"/>
    <w:rsid w:val="008F2038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1734"/>
    <w:rsid w:val="009626F4"/>
    <w:rsid w:val="00962CD4"/>
    <w:rsid w:val="009644DF"/>
    <w:rsid w:val="00965552"/>
    <w:rsid w:val="00965DE8"/>
    <w:rsid w:val="00966D3E"/>
    <w:rsid w:val="00972C9D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33E3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6E4F"/>
    <w:rsid w:val="009E7DDC"/>
    <w:rsid w:val="009F2F08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44A5"/>
    <w:rsid w:val="00A46E66"/>
    <w:rsid w:val="00A47045"/>
    <w:rsid w:val="00A479A3"/>
    <w:rsid w:val="00A507D9"/>
    <w:rsid w:val="00A550DC"/>
    <w:rsid w:val="00A55DC4"/>
    <w:rsid w:val="00A623C8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3587"/>
    <w:rsid w:val="00AB418C"/>
    <w:rsid w:val="00AB6552"/>
    <w:rsid w:val="00AB76D7"/>
    <w:rsid w:val="00AB7F11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4B54"/>
    <w:rsid w:val="00B012BE"/>
    <w:rsid w:val="00B0297C"/>
    <w:rsid w:val="00B02B40"/>
    <w:rsid w:val="00B03B4F"/>
    <w:rsid w:val="00B1083B"/>
    <w:rsid w:val="00B120AE"/>
    <w:rsid w:val="00B1343A"/>
    <w:rsid w:val="00B14395"/>
    <w:rsid w:val="00B15D0F"/>
    <w:rsid w:val="00B16A94"/>
    <w:rsid w:val="00B2346D"/>
    <w:rsid w:val="00B24894"/>
    <w:rsid w:val="00B25C1F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C73"/>
    <w:rsid w:val="00B73400"/>
    <w:rsid w:val="00B75A74"/>
    <w:rsid w:val="00B777B5"/>
    <w:rsid w:val="00B77E3B"/>
    <w:rsid w:val="00B77FBC"/>
    <w:rsid w:val="00B82514"/>
    <w:rsid w:val="00B843C7"/>
    <w:rsid w:val="00B857E4"/>
    <w:rsid w:val="00B90B7D"/>
    <w:rsid w:val="00B92702"/>
    <w:rsid w:val="00B93CD0"/>
    <w:rsid w:val="00B963A4"/>
    <w:rsid w:val="00BA0351"/>
    <w:rsid w:val="00BA0BFA"/>
    <w:rsid w:val="00BA5A77"/>
    <w:rsid w:val="00BA6EF6"/>
    <w:rsid w:val="00BB0042"/>
    <w:rsid w:val="00BB0C01"/>
    <w:rsid w:val="00BB3656"/>
    <w:rsid w:val="00BB44B8"/>
    <w:rsid w:val="00BB69A5"/>
    <w:rsid w:val="00BC1B97"/>
    <w:rsid w:val="00BC1F9B"/>
    <w:rsid w:val="00BC21D0"/>
    <w:rsid w:val="00BC3192"/>
    <w:rsid w:val="00BC3D43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271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18B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5A3"/>
    <w:rsid w:val="00C75620"/>
    <w:rsid w:val="00C769F3"/>
    <w:rsid w:val="00C805B4"/>
    <w:rsid w:val="00C81328"/>
    <w:rsid w:val="00C84529"/>
    <w:rsid w:val="00C845F8"/>
    <w:rsid w:val="00C850AA"/>
    <w:rsid w:val="00C850DC"/>
    <w:rsid w:val="00C97237"/>
    <w:rsid w:val="00C973ED"/>
    <w:rsid w:val="00CA0B44"/>
    <w:rsid w:val="00CA0F5E"/>
    <w:rsid w:val="00CA100A"/>
    <w:rsid w:val="00CA1DE0"/>
    <w:rsid w:val="00CA3C92"/>
    <w:rsid w:val="00CA61E2"/>
    <w:rsid w:val="00CA7A88"/>
    <w:rsid w:val="00CB0771"/>
    <w:rsid w:val="00CB116D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2F69"/>
    <w:rsid w:val="00CE3323"/>
    <w:rsid w:val="00CE39DA"/>
    <w:rsid w:val="00CE576A"/>
    <w:rsid w:val="00CE57F9"/>
    <w:rsid w:val="00CE6373"/>
    <w:rsid w:val="00CF02D1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7C9"/>
    <w:rsid w:val="00D541D6"/>
    <w:rsid w:val="00D56BFE"/>
    <w:rsid w:val="00D57064"/>
    <w:rsid w:val="00D57D80"/>
    <w:rsid w:val="00D619DE"/>
    <w:rsid w:val="00D61D63"/>
    <w:rsid w:val="00D6310C"/>
    <w:rsid w:val="00D6383E"/>
    <w:rsid w:val="00D63DFE"/>
    <w:rsid w:val="00D67AF3"/>
    <w:rsid w:val="00D72181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26B7"/>
    <w:rsid w:val="00DD316D"/>
    <w:rsid w:val="00DD321D"/>
    <w:rsid w:val="00DD3BEC"/>
    <w:rsid w:val="00DD3D99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428E"/>
    <w:rsid w:val="00DF6E4F"/>
    <w:rsid w:val="00E03230"/>
    <w:rsid w:val="00E04115"/>
    <w:rsid w:val="00E04279"/>
    <w:rsid w:val="00E05C44"/>
    <w:rsid w:val="00E065E8"/>
    <w:rsid w:val="00E108F3"/>
    <w:rsid w:val="00E13DCC"/>
    <w:rsid w:val="00E14111"/>
    <w:rsid w:val="00E14A24"/>
    <w:rsid w:val="00E15A8E"/>
    <w:rsid w:val="00E15F40"/>
    <w:rsid w:val="00E176A5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5FB7"/>
    <w:rsid w:val="00ED703D"/>
    <w:rsid w:val="00EE0DCD"/>
    <w:rsid w:val="00EE1391"/>
    <w:rsid w:val="00EE2ACB"/>
    <w:rsid w:val="00EE3970"/>
    <w:rsid w:val="00EE3B83"/>
    <w:rsid w:val="00EE4B2A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DF5"/>
    <w:rsid w:val="00F1042D"/>
    <w:rsid w:val="00F12D2A"/>
    <w:rsid w:val="00F15DA8"/>
    <w:rsid w:val="00F17649"/>
    <w:rsid w:val="00F21633"/>
    <w:rsid w:val="00F22AC6"/>
    <w:rsid w:val="00F2386E"/>
    <w:rsid w:val="00F245EB"/>
    <w:rsid w:val="00F247A6"/>
    <w:rsid w:val="00F2498E"/>
    <w:rsid w:val="00F25624"/>
    <w:rsid w:val="00F41A32"/>
    <w:rsid w:val="00F43A0D"/>
    <w:rsid w:val="00F44F42"/>
    <w:rsid w:val="00F4716F"/>
    <w:rsid w:val="00F602E8"/>
    <w:rsid w:val="00F65093"/>
    <w:rsid w:val="00F658E9"/>
    <w:rsid w:val="00F670BC"/>
    <w:rsid w:val="00F6745C"/>
    <w:rsid w:val="00F71551"/>
    <w:rsid w:val="00F71B55"/>
    <w:rsid w:val="00F7238B"/>
    <w:rsid w:val="00F72EB1"/>
    <w:rsid w:val="00F7334A"/>
    <w:rsid w:val="00F76AB4"/>
    <w:rsid w:val="00F810D4"/>
    <w:rsid w:val="00F815E9"/>
    <w:rsid w:val="00F81880"/>
    <w:rsid w:val="00F826B9"/>
    <w:rsid w:val="00F8390D"/>
    <w:rsid w:val="00F83FC6"/>
    <w:rsid w:val="00F85855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C7B"/>
    <w:rsid w:val="00FB1BCA"/>
    <w:rsid w:val="00FB2A95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1094"/>
    <w:rsid w:val="00FE1B83"/>
    <w:rsid w:val="00FE5431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28C"/>
    <w:pPr>
      <w:keepNext/>
      <w:keepLines/>
      <w:spacing w:after="480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CFB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7334A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27328C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167CFB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334A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PDF/?uri=CELEX:52016XC0723(01)&amp;from=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media/111528/Wytyczne_monitorowanie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B3E7-2099-4B9D-9F6C-00929B4B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5435</Words>
  <Characters>32613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37973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Przybek Grzegorz</cp:lastModifiedBy>
  <cp:revision>14</cp:revision>
  <cp:lastPrinted>2023-04-04T11:55:00Z</cp:lastPrinted>
  <dcterms:created xsi:type="dcterms:W3CDTF">2023-04-03T12:12:00Z</dcterms:created>
  <dcterms:modified xsi:type="dcterms:W3CDTF">2023-04-12T08:59:00Z</dcterms:modified>
</cp:coreProperties>
</file>